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E059D" w14:textId="77777777" w:rsidR="00FB2BFA" w:rsidRDefault="00FB2BFA">
      <w:pPr>
        <w:pStyle w:val="Header"/>
        <w:tabs>
          <w:tab w:val="clear" w:pos="4320"/>
          <w:tab w:val="clear" w:pos="8640"/>
        </w:tabs>
      </w:pPr>
    </w:p>
    <w:p w14:paraId="2E1A187A" w14:textId="77777777" w:rsidR="00FB2BFA" w:rsidRDefault="00FB2BFA">
      <w:pPr>
        <w:jc w:val="center"/>
      </w:pPr>
      <w:r>
        <w:t>Refounding Freedom:</w:t>
      </w:r>
    </w:p>
    <w:p w14:paraId="3A29CA44" w14:textId="77777777" w:rsidR="00FB2BFA" w:rsidRDefault="00FB2BFA">
      <w:pPr>
        <w:jc w:val="center"/>
        <w:rPr>
          <w:sz w:val="20"/>
        </w:rPr>
      </w:pPr>
      <w:r>
        <w:rPr>
          <w:sz w:val="20"/>
        </w:rPr>
        <w:t xml:space="preserve">Arendt, Birmingham, and </w:t>
      </w:r>
    </w:p>
    <w:p w14:paraId="70416802" w14:textId="77777777" w:rsidR="00FB2BFA" w:rsidRDefault="00FB2BFA">
      <w:pPr>
        <w:jc w:val="center"/>
        <w:rPr>
          <w:sz w:val="20"/>
        </w:rPr>
      </w:pPr>
      <w:r>
        <w:rPr>
          <w:sz w:val="20"/>
        </w:rPr>
        <w:t>The Legitimation Crisis of American Liberalism</w:t>
      </w:r>
    </w:p>
    <w:p w14:paraId="183FFA08" w14:textId="77777777" w:rsidR="00B0371B" w:rsidRDefault="00B0371B">
      <w:pPr>
        <w:jc w:val="center"/>
      </w:pPr>
      <w:r>
        <w:rPr>
          <w:sz w:val="20"/>
        </w:rPr>
        <w:t>6/19/2008</w:t>
      </w:r>
    </w:p>
    <w:p w14:paraId="6967CE8F" w14:textId="77777777" w:rsidR="00FB2BFA" w:rsidRDefault="00FB2BFA">
      <w:pPr>
        <w:jc w:val="center"/>
      </w:pPr>
    </w:p>
    <w:p w14:paraId="4E6C32FE" w14:textId="77777777" w:rsidR="00FB2BFA" w:rsidRDefault="00FB2BFA">
      <w:pPr>
        <w:jc w:val="center"/>
      </w:pPr>
      <w:r>
        <w:t>Bruce Woll</w:t>
      </w:r>
    </w:p>
    <w:p w14:paraId="27ED1B75" w14:textId="77777777" w:rsidR="00B0371B" w:rsidRDefault="00B0371B" w:rsidP="00B0371B">
      <w:pPr>
        <w:jc w:val="center"/>
      </w:pPr>
      <w:r>
        <w:t>Essay</w:t>
      </w:r>
    </w:p>
    <w:p w14:paraId="4E432188" w14:textId="77777777" w:rsidR="00FB2BFA" w:rsidRDefault="00FB2BFA">
      <w:pPr>
        <w:tabs>
          <w:tab w:val="left" w:pos="2767"/>
        </w:tabs>
      </w:pPr>
      <w:r>
        <w:tab/>
      </w:r>
    </w:p>
    <w:p w14:paraId="006A49EF" w14:textId="77777777" w:rsidR="00FB2BFA" w:rsidRDefault="00FB2BFA">
      <w:pPr>
        <w:rPr>
          <w:b/>
          <w:bCs/>
        </w:rPr>
      </w:pPr>
      <w:r>
        <w:rPr>
          <w:b/>
          <w:bCs/>
        </w:rPr>
        <w:t>Legitimacy without sovereignty?</w:t>
      </w:r>
    </w:p>
    <w:p w14:paraId="08A2FC0B" w14:textId="77777777" w:rsidR="00FB2BFA" w:rsidRDefault="00FB2BFA">
      <w:pPr>
        <w:rPr>
          <w:b/>
          <w:bCs/>
        </w:rPr>
      </w:pPr>
    </w:p>
    <w:p w14:paraId="6FABD789" w14:textId="77777777" w:rsidR="00FB2BFA" w:rsidRDefault="00FB2BFA">
      <w:r>
        <w:tab/>
        <w:t>Arendt’s repudiation of sovereignty</w:t>
      </w:r>
      <w:r>
        <w:rPr>
          <w:rStyle w:val="FootnoteReference"/>
        </w:rPr>
        <w:footnoteReference w:id="1"/>
      </w:r>
      <w:r>
        <w:t xml:space="preserve"> would seem to disqualify her political theories from serious consideration in a post 9/11 world which has, supposedly, exposed the bankruptcy of liberal and left-intellectual thought and vindicated calls to return to foundations, tradition, authority, truth, and moral conviction.</w:t>
      </w:r>
    </w:p>
    <w:p w14:paraId="2E788830" w14:textId="77777777" w:rsidR="00FB2BFA" w:rsidRDefault="00FB2BFA">
      <w:r>
        <w:tab/>
        <w:t>Not only has Arendt repudiated conservative appeals to authority and tradition but she has also repudiated the bedrock foundations of modern liberalism, natural reason, human nature, the sovereign self, as well as the sovereign state, charging liberalism with impotence in the face of totalitarianism. Critics across the political spectrum have found in her fierce, radical notions of freedom, and thinking as a mode of moving in the world of freedom, a recipe for relativism or “decisionism.”</w:t>
      </w:r>
      <w:r>
        <w:rPr>
          <w:rStyle w:val="FootnoteReference"/>
        </w:rPr>
        <w:footnoteReference w:id="2"/>
      </w:r>
      <w:r>
        <w:t xml:space="preserve"> Liberals have turned her charge of impotence back on her own notion of </w:t>
      </w:r>
      <w:commentRangeStart w:id="0"/>
      <w:r>
        <w:t>freedom</w:t>
      </w:r>
      <w:commentRangeEnd w:id="0"/>
      <w:r>
        <w:rPr>
          <w:rStyle w:val="CommentReference"/>
          <w:sz w:val="24"/>
          <w:szCs w:val="24"/>
        </w:rPr>
        <w:commentReference w:id="0"/>
      </w:r>
      <w:r>
        <w:t>.</w:t>
      </w:r>
      <w:r>
        <w:rPr>
          <w:rStyle w:val="FootnoteReference"/>
        </w:rPr>
        <w:footnoteReference w:id="3"/>
      </w:r>
    </w:p>
    <w:p w14:paraId="610D5A66" w14:textId="77777777" w:rsidR="00FB2BFA" w:rsidRDefault="00FB2BFA">
      <w:r>
        <w:tab/>
        <w:t xml:space="preserve">In this intellectual climate Birmingham’s claim to find in Arendt’s work an ontological foundation for human rights is provocative and timely. </w:t>
      </w:r>
      <w:r>
        <w:rPr>
          <w:i/>
          <w:iCs/>
        </w:rPr>
        <w:t>Hannah Arendt</w:t>
      </w:r>
      <w:r>
        <w:t xml:space="preserve"> </w:t>
      </w:r>
      <w:r>
        <w:rPr>
          <w:i/>
          <w:iCs/>
        </w:rPr>
        <w:t>and Human Rights</w:t>
      </w:r>
      <w:r>
        <w:rPr>
          <w:rStyle w:val="FootnoteReference"/>
          <w:i/>
          <w:iCs/>
        </w:rPr>
        <w:footnoteReference w:id="4"/>
      </w:r>
      <w:r>
        <w:rPr>
          <w:i/>
          <w:iCs/>
        </w:rPr>
        <w:t xml:space="preserve"> </w:t>
      </w:r>
      <w:r>
        <w:t>in no way compromises Arendt’s radical post-metaphysical notion of freedom, deepens it in fact; yet at the same time it makes unabashed use of the un-radical language of principles, responsibility, and guarantee to assert an Arendtian form of ontological foundationalism.</w:t>
      </w:r>
    </w:p>
    <w:p w14:paraId="5851E766" w14:textId="77777777" w:rsidR="00FB2BFA" w:rsidRDefault="00FB2BFA">
      <w:r>
        <w:tab/>
        <w:t xml:space="preserve">How is it possible to speak of political power, authority, legitimacy, and judgment, while repudiating truth, natural reason, sovereignty, human nature, or appeals to legal, moral, or religious principles, or appeals to tradition? The answer Birmingham gives can only be deeply paradoxical, paradoxical, that is, given our taken-for-granted notions about power, strength, authority, reason, and truth. It is an answer that opposes principle to truth; that roots political power in plurality and difference rather than consensus; that repudiates the split between public and private reason; that repudiates the split between body and mind, passion and thought. Making principles, power, and foundations </w:t>
      </w:r>
      <w:r>
        <w:rPr>
          <w:i/>
          <w:iCs/>
        </w:rPr>
        <w:t>dependent</w:t>
      </w:r>
      <w:r>
        <w:t xml:space="preserve"> upon the repudiation of sovereignty seems to scramble the categories we use to map the world of political theory and practice.</w:t>
      </w:r>
    </w:p>
    <w:p w14:paraId="592726EB" w14:textId="77777777" w:rsidR="00FB2BFA" w:rsidRDefault="00FB2BFA">
      <w:r>
        <w:lastRenderedPageBreak/>
        <w:tab/>
        <w:t xml:space="preserve">The importance of Birmingham’s reading of Arendt goes well beyond the borders of the academy. It speaks to the familiar conundrum of democracy, how to defend freedom without strangling it, a challenge that has reached crisis proportions in the last seven </w:t>
      </w:r>
      <w:commentRangeStart w:id="1"/>
      <w:r>
        <w:t>years</w:t>
      </w:r>
      <w:commentRangeEnd w:id="1"/>
      <w:r>
        <w:rPr>
          <w:rStyle w:val="CommentReference"/>
          <w:sz w:val="24"/>
          <w:szCs w:val="24"/>
        </w:rPr>
        <w:commentReference w:id="1"/>
      </w:r>
      <w:r>
        <w:t>.</w:t>
      </w:r>
      <w:r>
        <w:rPr>
          <w:rStyle w:val="FootnoteReference"/>
        </w:rPr>
        <w:footnoteReference w:id="5"/>
      </w:r>
    </w:p>
    <w:p w14:paraId="4E0CF0AB" w14:textId="77777777" w:rsidR="00FB2BFA" w:rsidRDefault="00FB2BFA">
      <w:r>
        <w:tab/>
        <w:t>The specific focus of this essay is on the place and power of thought within that scrambled Arendtian map as drawn by Birmingham. Epistemic matters, that is, ideas, themes having to do with the life of the mind, reason, thought, memory, imagination, meaning, judgment, questioning, truth, appear at each key juncture in the book, beginning with the repudiation of the “philosophically invalid and politically impotent notion of human rights” that characterizes liberal humanism, whose ground in “the rationality of nature” and “the self-evidence of reason” has given way in the face of the death camps.</w:t>
      </w:r>
    </w:p>
    <w:p w14:paraId="6179AE28" w14:textId="77777777" w:rsidR="00FB2BFA" w:rsidRDefault="00FB2BFA">
      <w:r>
        <w:tab/>
        <w:t>The role of political epistemology in the argument is first of all deconstructive, oppositional, and critical. In the same way that Arendt’s notion of freedom involves the radical repudiation of sovereignty, so her notion of reason involves the repudiation of truth as the ground of political legitimacy, the repudiation of “a politics that finds its firm ground in a set of enduring truths” (15). Thinking is deprived of the “banisters” of tradition, authority, and religion. It must operate without metaphysical foundations. It cannot appeal to the “rationality of nature.” It cannot turn to the inner region of the self in introspection. There is no self-sufficiency of reason. The self, split and alien, is even more impenetrable than nature, and can yield only questing and searching, not the resolute human being (80). Arendt repudiates the sovereign self equally with the sovereign state.</w:t>
      </w:r>
    </w:p>
    <w:p w14:paraId="141B0CCD" w14:textId="77777777" w:rsidR="00FB2BFA" w:rsidRDefault="00FB2BFA">
      <w:r>
        <w:tab/>
        <w:t>On the other hand, thinking is animated by principle. Thinking is an expression of the power of freedom, the ability to begin (55). It is “a mode of moving in the world of freedom” (68). The very condition of speech without prior authorization is what makes possible speech that can assume authorizatio</w:t>
      </w:r>
      <w:r w:rsidR="0035472E">
        <w:t>n in the course of its saying (3</w:t>
      </w:r>
      <w:r>
        <w:t>2). “Public reason,” according to Arendt, is not a consensus of private, sovereign individuals. On the contrary, “the commonality of the world emerges out of the irreducible nonintegration of different standpoints” 127). Likewise, “self-identity is constituted only through these irreducible and innumerable perspectives” (127).</w:t>
      </w:r>
    </w:p>
    <w:p w14:paraId="6CC6C6E6" w14:textId="77777777" w:rsidR="00FB2BFA" w:rsidRDefault="00FB2BFA"/>
    <w:p w14:paraId="20C948C3" w14:textId="77777777" w:rsidR="00FB2BFA" w:rsidRDefault="00FB2BFA">
      <w:pPr>
        <w:rPr>
          <w:b/>
          <w:bCs/>
        </w:rPr>
      </w:pPr>
      <w:r>
        <w:rPr>
          <w:b/>
          <w:bCs/>
        </w:rPr>
        <w:t>The structure of Birmingham’s argument</w:t>
      </w:r>
    </w:p>
    <w:p w14:paraId="64F92732" w14:textId="77777777" w:rsidR="00FB2BFA" w:rsidRDefault="00FB2BFA"/>
    <w:p w14:paraId="45619882" w14:textId="77777777" w:rsidR="00FB2BFA" w:rsidRDefault="00FB2BFA">
      <w:r>
        <w:tab/>
        <w:t xml:space="preserve">The argument of </w:t>
      </w:r>
      <w:r>
        <w:rPr>
          <w:i/>
          <w:iCs/>
        </w:rPr>
        <w:t>Hannah Arendt and Human Rights</w:t>
      </w:r>
      <w:r>
        <w:t xml:space="preserve"> is that rights are not grounded by a sovereign state or sovereign, natural reason. They can only be grounded politically. But political responsibility is itself rooted in principles arising from the universal event of birth, whose ontology cannot be reduced to the merely physical, biological, or natural, but is rather always already political, linguistic, and relational.</w:t>
      </w:r>
    </w:p>
    <w:p w14:paraId="4C2489EB" w14:textId="77777777" w:rsidR="00FB2BFA" w:rsidRDefault="00FB2BFA">
      <w:r>
        <w:tab/>
        <w:t xml:space="preserve">The backbone of the argument is to be found in the two principles, beginnings and givenness, treated in chapters two and three respectively, both springing from the event of natality, treated in chapter one. “Natality” is a loaded concept. It bears the weight of guarantee, foundation, ontology, and normative source. It is the source of the imperative </w:t>
      </w:r>
      <w:r>
        <w:lastRenderedPageBreak/>
        <w:t>of responsibility against radical evil. It bears temporal import: “humanity’s guarantee lies not in the end of humanity but in its beginning” (8). It carries political implications: It is anarchic, unpredictable, arbitrary, but it also “carries its rule or principle within itself: beginning and principle are coeval” (9). It has epistemological import. The event of natality does not provide enduring truths (12) or laws as the normative guarantee of rights and animating source of action, but principles.</w:t>
      </w:r>
    </w:p>
    <w:p w14:paraId="30CBDC48" w14:textId="77777777" w:rsidR="00FB2BFA" w:rsidRDefault="00FB2BFA">
      <w:r>
        <w:tab/>
        <w:t xml:space="preserve">The crux of Birmingham’s argument turns on natality as physical, biological, embodied, birth as an event of one body becoming separated from another body (115). According to Birmingham givenness is embodied, and, as embodied, is included in public space. As embodied, it cannot, must not, be excluded. In taking this position, she must avoid any form of biologism, any understanding of the body that would reduce the political to the natural. </w:t>
      </w:r>
    </w:p>
    <w:p w14:paraId="17CE7CD1" w14:textId="77777777" w:rsidR="00FB2BFA" w:rsidRDefault="00FB2BFA">
      <w:r>
        <w:tab/>
        <w:t>While she takes up this issue at the outset in chapter one (cf. p. 16, 17, 23), and addresses it in critical ways in each chapter, her discussion in chapter four forms the heart of the book. In it she adopts the psychoanalytical account of birth developed by Kristeva, in order to do full justice to its biological reality, while precluding its reduction to biology. Kristeva’s notion of “semiotic drives” suggests her irreductionist ontology of embodiment.</w:t>
      </w:r>
    </w:p>
    <w:p w14:paraId="67971C6A" w14:textId="77777777" w:rsidR="00FB2BFA" w:rsidRDefault="00FB2BFA"/>
    <w:p w14:paraId="2B29FB15" w14:textId="77777777" w:rsidR="00FB2BFA" w:rsidRDefault="00FB2BFA">
      <w:r>
        <w:rPr>
          <w:b/>
          <w:bCs/>
        </w:rPr>
        <w:t>Chapter One: Politics and Principle. Refounding Politicality</w:t>
      </w:r>
      <w:r>
        <w:rPr>
          <w:rStyle w:val="FootnoteReference"/>
          <w:b/>
          <w:bCs/>
        </w:rPr>
        <w:footnoteReference w:id="6"/>
      </w:r>
    </w:p>
    <w:p w14:paraId="04920FAD" w14:textId="77777777" w:rsidR="00FB2BFA" w:rsidRDefault="00FB2BFA">
      <w:r>
        <w:tab/>
      </w:r>
      <w:commentRangeStart w:id="2"/>
      <w:r>
        <w:t xml:space="preserve">Arendt </w:t>
      </w:r>
      <w:commentRangeEnd w:id="2"/>
      <w:r>
        <w:rPr>
          <w:rStyle w:val="CommentReference"/>
          <w:sz w:val="24"/>
          <w:szCs w:val="24"/>
        </w:rPr>
        <w:commentReference w:id="2"/>
      </w:r>
      <w:r>
        <w:t xml:space="preserve">sought to </w:t>
      </w:r>
      <w:proofErr w:type="spellStart"/>
      <w:r>
        <w:t>refound</w:t>
      </w:r>
      <w:proofErr w:type="spellEnd"/>
      <w:r>
        <w:t xml:space="preserve"> politics. That is the bold claim of the first chapter. She repudiated an “ontological politics” and proposed, instead, an “ontological foundation,” an ontology of event versus an ontology of essence (12). Why “ontological”? The term denotes that the foundation is not</w:t>
      </w:r>
      <w:r>
        <w:rPr>
          <w:u w:val="single"/>
        </w:rPr>
        <w:t xml:space="preserve"> arbitrary</w:t>
      </w:r>
      <w:r>
        <w:t xml:space="preserve">. It is rooted in principles that arise from the universal event of human birth, “an event that provides the </w:t>
      </w:r>
      <w:r>
        <w:rPr>
          <w:i/>
          <w:iCs/>
        </w:rPr>
        <w:t>arche</w:t>
      </w:r>
      <w:r>
        <w:t xml:space="preserve"> and principium of human action (12, cf. p. 9). </w:t>
      </w:r>
    </w:p>
    <w:p w14:paraId="7270186A" w14:textId="77777777" w:rsidR="00FB2BFA" w:rsidRDefault="00FB2BFA">
      <w:pPr>
        <w:ind w:firstLine="720"/>
      </w:pPr>
      <w:r>
        <w:t xml:space="preserve">Birmingham characterizes the ontology of natality in terms of its temporality and its linguisticality. </w:t>
      </w:r>
    </w:p>
    <w:p w14:paraId="5165A007" w14:textId="77777777" w:rsidR="00FB2BFA" w:rsidRDefault="00FB2BFA">
      <w:pPr>
        <w:ind w:firstLine="720"/>
      </w:pPr>
      <w:r>
        <w:t xml:space="preserve">The temporality of human birth is marked by a deflection of forces that destroys transmissibility and authority, and inserts “the unprecedented and the unique” (19), a gap that opens up between past and future, tradition and prospect, The origin, natality, is not recoverable or accessible. It is always deflected. Hence, an ontological politics in the sense of a politics premised on an unmediated return to origins is ruled out as chimerical. </w:t>
      </w:r>
      <w:r>
        <w:tab/>
        <w:t xml:space="preserve">Nevertheless, the foundation or origin is ontological </w:t>
      </w:r>
      <w:r>
        <w:rPr>
          <w:iCs/>
          <w:u w:val="single"/>
        </w:rPr>
        <w:t>because its principle remains in play throughout life</w:t>
      </w:r>
      <w:r>
        <w:t xml:space="preserve"> (23).</w:t>
      </w:r>
    </w:p>
    <w:p w14:paraId="42B9209B" w14:textId="77777777" w:rsidR="00FB2BFA" w:rsidRDefault="00FB2BFA">
      <w:r>
        <w:tab/>
        <w:t>Both sides of this paradoxical ontology are imperative, the rupture and the continuing in play, the deflecting and inaugurative force, abyss and principle. And, we may note, it is these same two paradoxical features that decisively condition Arendt’s notion of thinking (17).</w:t>
      </w:r>
    </w:p>
    <w:p w14:paraId="5324C202" w14:textId="77777777" w:rsidR="00FB2BFA" w:rsidRDefault="00FB2BFA">
      <w:pPr>
        <w:ind w:firstLine="720"/>
      </w:pPr>
      <w:r>
        <w:lastRenderedPageBreak/>
        <w:t xml:space="preserve">Two further concepts, citability and translation, are used by Arendt to further characterize the temporality of natality’s ontology. “Citability is a force that destroys the complacency of the present” (20), a destruction that opens the future to the new. </w:t>
      </w:r>
    </w:p>
    <w:p w14:paraId="4433AF8D" w14:textId="77777777" w:rsidR="00FB2BFA" w:rsidRDefault="00FB2BFA">
      <w:pPr>
        <w:ind w:firstLine="720"/>
      </w:pPr>
      <w:r>
        <w:t xml:space="preserve">Likewise, “translation” is pitted against hermeneutics. There is “no interpretation of what is already there.” Rather, “translation is engaged with what is not given, something foreign that cannot be empathized with, something incommensurable that cannot be reduced to the same, an unknown that cannot be reduced to the known” (21). </w:t>
      </w:r>
    </w:p>
    <w:p w14:paraId="0DE2927C" w14:textId="77777777" w:rsidR="00FB2BFA" w:rsidRDefault="00FB2BFA">
      <w:pPr>
        <w:ind w:firstLine="720"/>
      </w:pPr>
      <w:r>
        <w:t xml:space="preserve">Arendt's concept of the new is decisively “not part of a progressivist discourse” about the future; it is a newness that requires “an act of alchemy,” that introduces “foreignness,” (21), an incommensurability that can never be assimilated into a present” (22). </w:t>
      </w:r>
    </w:p>
    <w:p w14:paraId="481A65DB" w14:textId="77777777" w:rsidR="00FB2BFA" w:rsidRDefault="00FB2BFA">
      <w:r>
        <w:tab/>
        <w:t xml:space="preserve">The disjunctive ontology of the event of natality is the temporal disjunction of mortality. “The event of natality transforms the natural into the mortal.” Our bodily existence is never simply biological but always already mortal. There is nothing so ‘other’ than being born and dying, the indices of all alterity” (30). </w:t>
      </w:r>
    </w:p>
    <w:p w14:paraId="37C24EFC" w14:textId="77777777" w:rsidR="00FB2BFA" w:rsidRDefault="00FB2BFA">
      <w:r>
        <w:tab/>
        <w:t xml:space="preserve">The disjunctive applies to one’s own self. “One is always cut off from fully possessing one’s own embodied being,” a point that is elaborated in chapter three as the alterity at the heart of the self (80). This is far removed from the liberal notion of owning the self, just as the notion of the </w:t>
      </w:r>
      <w:r>
        <w:rPr>
          <w:iCs/>
          <w:u w:val="single"/>
        </w:rPr>
        <w:t>vulnerability</w:t>
      </w:r>
      <w:r>
        <w:t xml:space="preserve"> of the newcomer makes clear the distance from the sovereign self of liberalism.</w:t>
      </w:r>
    </w:p>
    <w:p w14:paraId="345CFDE0" w14:textId="77777777" w:rsidR="00FB2BFA" w:rsidRDefault="00FB2BFA">
      <w:r>
        <w:tab/>
        <w:t xml:space="preserve">Linguisticality is the second feature of human birth that characterizes the ontology of human birth. When Birmingham moves the discussion down to the level of the body, “the naked fact of our original physical appearance” (23), she confronts the question of how Arendt can insist on natality as a natural physical event while at the same time repudiating an ontology of natural, biological, organic essences. The answer lies in the two-fold character of natality, as physical </w:t>
      </w:r>
      <w:r>
        <w:rPr>
          <w:u w:val="single"/>
        </w:rPr>
        <w:t>and linguistic</w:t>
      </w:r>
      <w:r>
        <w:t>, a “first” and “second” birth, in inseparable interfusion or interpermeability, such that “the first birth … is never simply the naked fact of physical existence but is already infused with language” (29). Our naked facticity, our embodied being, “is always already imbued with linguistic natality” 31). “The birth of the who is a linguistic event” (24).</w:t>
      </w:r>
    </w:p>
    <w:p w14:paraId="6E845C87" w14:textId="77777777" w:rsidR="00FB2BFA" w:rsidRDefault="00FB2BFA">
      <w:r>
        <w:tab/>
        <w:t xml:space="preserve">What this means for the ontology of human embodiment is that it is marked by a vulnerability that is at the very heart of language, as the new, unexpected word; the vulnerability of the newcomer, the stranger” (27). The vulnerability of the new – language and being – is expressed in a cascade of disjunctive terms: loss, limit, break, lack, cut off, distance, deseverance, dislocation, silence, the untimely, “absolute and entirely without relation,” absolute beginning, “a radical alterity to which there is no relation,” unmoored, bound to nothing. The originary event proceeds from nothingness” (31). </w:t>
      </w:r>
    </w:p>
    <w:p w14:paraId="66DEA54C" w14:textId="77777777" w:rsidR="00FB2BFA" w:rsidRDefault="00FB2BFA">
      <w:r>
        <w:tab/>
      </w:r>
      <w:commentRangeStart w:id="3"/>
      <w:r>
        <w:t xml:space="preserve">Yet </w:t>
      </w:r>
      <w:commentRangeEnd w:id="3"/>
      <w:r>
        <w:rPr>
          <w:rStyle w:val="CommentReference"/>
          <w:sz w:val="24"/>
          <w:szCs w:val="24"/>
        </w:rPr>
        <w:commentReference w:id="3"/>
      </w:r>
      <w:r>
        <w:t>interwoven with disjunction, or centrifugal force is an equally rich vocabulary of conjunction: language of care, solicitude, welcome, receiving, entrance, immersion, “a region of involvements,” orientation, directionality, place; embodied beings always already immersed and involved in the world. This is vocabulary that sends the mind down the path of centripetality, bond, commitment, responsibility, and commonality.</w:t>
      </w:r>
    </w:p>
    <w:p w14:paraId="06783100" w14:textId="77777777" w:rsidR="00FB2BFA" w:rsidRDefault="00FB2BFA">
      <w:r>
        <w:tab/>
        <w:t xml:space="preserve">If disjunction serves the purpose of repudiating biologism, metaphysical fantasies, determinisms, and reductions to the nakedly physical, it also serves the purpose of holding open the fragile, vulnerable space required for the birth of the who, for the </w:t>
      </w:r>
      <w:r>
        <w:lastRenderedPageBreak/>
        <w:t xml:space="preserve">appearance of the uniquely distinct self. And it further leaves no other foundation for the bond of our common world than a politicality animated by care for the principle of freedom, a politicality that cherishes the vulnerability and fragility of the stranger, the newcomer, as bearing the possibility of beginning something new, “something other than itself” (31). </w:t>
      </w:r>
    </w:p>
    <w:p w14:paraId="4BFC7F0D" w14:textId="77777777" w:rsidR="00FB2BFA" w:rsidRDefault="00FB2BFA">
      <w:r>
        <w:tab/>
        <w:t xml:space="preserve">The gap, the break, the disjunction is “a critical response [that] dissolves any authorization of repeatable possibilities based on a myth of being tied to a beginning” 32). This formulation picks up the idea of the “deflected beginning,” the impossibility of a return to the origin, but casts it now in terms of authority and myth, the dissolution of authority </w:t>
      </w:r>
      <w:r>
        <w:rPr>
          <w:u w:val="single"/>
        </w:rPr>
        <w:t>based on a myth of origins</w:t>
      </w:r>
      <w:r>
        <w:t xml:space="preserve">, the impossibility of an ontological politics. </w:t>
      </w:r>
    </w:p>
    <w:p w14:paraId="30A2FC73" w14:textId="77777777" w:rsidR="00FB2BFA" w:rsidRDefault="00FB2BFA">
      <w:r>
        <w:tab/>
        <w:t xml:space="preserve">On the other hand, the dissolution of that kind of authority is precisely the condition for </w:t>
      </w:r>
      <w:r>
        <w:rPr>
          <w:u w:val="single"/>
        </w:rPr>
        <w:t>the authority of the new</w:t>
      </w:r>
      <w:r>
        <w:t xml:space="preserve">. “The temporality of the </w:t>
      </w:r>
      <w:r>
        <w:rPr>
          <w:i/>
          <w:iCs/>
        </w:rPr>
        <w:t>Augenblick</w:t>
      </w:r>
      <w:r>
        <w:t xml:space="preserve"> – the moment in which a speech without prior authorization </w:t>
      </w:r>
      <w:r>
        <w:rPr>
          <w:u w:val="single"/>
        </w:rPr>
        <w:t>nevertheless can assume authorization</w:t>
      </w:r>
      <w:r>
        <w:t xml:space="preserve"> in the course of it’s saying” </w:t>
      </w:r>
      <w:r w:rsidR="0035472E">
        <w:t>(</w:t>
      </w:r>
      <w:r>
        <w:t xml:space="preserve">32). This is the authority of ínaugurative speech, performative speech, over against the cliché, which “darkens” public space (27). This is the authority of the appearance of a who in a public space of appearances. Its force, or legitimacy, is derived precisely from its decontextualization” (33).  </w:t>
      </w:r>
    </w:p>
    <w:p w14:paraId="77BBA2BD" w14:textId="77777777" w:rsidR="00FB2BFA" w:rsidRDefault="00FB2BFA">
      <w:pPr>
        <w:ind w:firstLine="720"/>
      </w:pPr>
      <w:r>
        <w:t xml:space="preserve">This moment of insight or vision is a moment of resolve, of “resolute” response (31), an act of “resolution” (32). It is the force, the authority that lies behind the “guarantee” of human rights. In chapter two it is developed in terms of Arendt’s positive affirmation of power, which she opposes to sovereignty. What cannot be emphasized enough is that </w:t>
      </w:r>
      <w:r>
        <w:rPr>
          <w:i/>
          <w:iCs/>
        </w:rPr>
        <w:t>this</w:t>
      </w:r>
      <w:r>
        <w:t xml:space="preserve"> kind of authority depends upon the gap, the break, the dissolution of the authority of the past. Its force depends upon its vulnerability, the power of the who that has its birth in “a solicitude that frees” (28). The condition of thought is such that it is irreductive. </w:t>
      </w:r>
    </w:p>
    <w:p w14:paraId="745F1A21" w14:textId="77777777" w:rsidR="00FB2BFA" w:rsidRDefault="00FB2BFA">
      <w:r>
        <w:tab/>
        <w:t xml:space="preserve">There is no guarantee of human rights that can relieve us of the responsibility of resolve, response, decision, and reply, of translation of the untranslatable. “It is not knowledge or truth which is at stake, but rather judgment and decision, the judicious exchange of opinion of public life and the common world and the decision what manner of action is to be taken in it, … what kind of things are to appear in it” (27). </w:t>
      </w:r>
    </w:p>
    <w:p w14:paraId="7F7A4C5C" w14:textId="77777777" w:rsidR="00FB2BFA" w:rsidRDefault="00FB2BFA">
      <w:r>
        <w:tab/>
        <w:t xml:space="preserve">It is decisive that Arendt’s point here be understood not only, or even first of all, as a negative, an opposition, a critique. It is that. It is radically deconstructive. But underneath that radicalism there is affirmation, deep, momentous, powerful, animating affirmation of the unique distinctiveness of persons, of the “who,” that can never be reduced to an essence or a human nature, a sum of attributes, that can never be </w:t>
      </w:r>
      <w:r>
        <w:rPr>
          <w:iCs/>
          <w:u w:val="single"/>
        </w:rPr>
        <w:t>reduced</w:t>
      </w:r>
      <w:r>
        <w:t xml:space="preserve"> to a given.</w:t>
      </w:r>
    </w:p>
    <w:p w14:paraId="11D066AD" w14:textId="77777777" w:rsidR="00FB2BFA" w:rsidRDefault="00FB2BFA"/>
    <w:p w14:paraId="02FFBB11" w14:textId="77777777" w:rsidR="00FB2BFA" w:rsidRDefault="00FB2BFA">
      <w:pPr>
        <w:rPr>
          <w:b/>
          <w:bCs/>
        </w:rPr>
      </w:pPr>
      <w:r>
        <w:rPr>
          <w:b/>
          <w:bCs/>
        </w:rPr>
        <w:t>Chapter two: Politics and Public Reason</w:t>
      </w:r>
    </w:p>
    <w:p w14:paraId="27B821D7" w14:textId="77777777" w:rsidR="00FB2BFA" w:rsidRDefault="00FB2BFA"/>
    <w:p w14:paraId="5DF70475" w14:textId="77777777" w:rsidR="00FB2BFA" w:rsidRDefault="00FB2BFA">
      <w:pPr>
        <w:ind w:firstLine="720"/>
      </w:pPr>
      <w:r>
        <w:t xml:space="preserve">Just as Birmingham has shown in chapter one how Arendt’s notion of linguistic natality marks off her ontology from biological political fantasies, so in chapter two she shows how Arendt’s notion of the political marks off her humanism from liberal humanist notions of natural rights.  I will focus on two features of Arendt’s critique of liberalism, as spelled out by Birmingham in chapter two; her repudiation of individual and collective sovereignty, which is inherently singular, in favor of power, which is </w:t>
      </w:r>
      <w:r>
        <w:lastRenderedPageBreak/>
        <w:t xml:space="preserve">inherently plural; and her repudiation of private reason, in favor of </w:t>
      </w:r>
      <w:r>
        <w:rPr>
          <w:u w:val="single"/>
        </w:rPr>
        <w:t>nonconsensual</w:t>
      </w:r>
      <w:r>
        <w:t xml:space="preserve"> public reason. </w:t>
      </w:r>
    </w:p>
    <w:p w14:paraId="6872D4B1" w14:textId="77777777" w:rsidR="00FB2BFA" w:rsidRDefault="00FB2BFA">
      <w:pPr>
        <w:ind w:firstLine="720"/>
      </w:pPr>
      <w:r>
        <w:t xml:space="preserve">For Arendt human rights are not natural, but political. “The ‘nature’ of man is ‘human’ only to the extent that it gives him the possibility of being something highly unnatural, that is, a man” (127)! The "categorical imperative of the political" (60) is established by </w:t>
      </w:r>
      <w:r>
        <w:rPr>
          <w:i/>
          <w:iCs/>
        </w:rPr>
        <w:t>initium</w:t>
      </w:r>
      <w:r>
        <w:t xml:space="preserve">, the principle of freedom. </w:t>
      </w:r>
    </w:p>
    <w:p w14:paraId="1856827D" w14:textId="77777777" w:rsidR="00FB2BFA" w:rsidRDefault="00FB2BFA">
      <w:pPr>
        <w:ind w:firstLine="720"/>
      </w:pPr>
      <w:r>
        <w:t xml:space="preserve">Freedom is, for Arendt, first and foremost, public, political, and this worldly. The principle of publicness is the right to appear, the right to public space, the right that “each actor by virtue of the event of natality itself has the right to sojourn on the face of the earth” (58). Natality is “the event of appearance” (58). Appearance, further, carries with it the notion of significant speech and action, the rights of freedom of expression and association. </w:t>
      </w:r>
    </w:p>
    <w:p w14:paraId="49D8B65F" w14:textId="77777777" w:rsidR="00FB2BFA" w:rsidRDefault="00FB2BFA">
      <w:pPr>
        <w:ind w:firstLine="720"/>
      </w:pPr>
      <w:r>
        <w:t>Freedom to appear on the earth, to move in political space (54, 55, 61), is inseparable from power, the power to act, to begin. But power is, for Arendt, incompatible with sovereignty. “The notion of sovereignty can denote strength, but it can never denote power” (55). Sovereignty is singular. Power is plural. “Power must always be said in the plural. For power to exist there must be other centers of power … Domination, in contrast, is the loss of power that occurs … when there is a central ruling power” (55). Public freedom is “synonymous with noncentralized nonsovereign power” (56).</w:t>
      </w:r>
    </w:p>
    <w:p w14:paraId="19D946DC" w14:textId="77777777" w:rsidR="00FB2BFA" w:rsidRDefault="00FB2BFA">
      <w:r>
        <w:tab/>
        <w:t>Arendt’s scandalous repudiation of any notion of natural rights and natural reason, and her shocking elevation of political power as the only guarantee of human rights makes the question of the legitimacy of power urgent. The question of legitimacy brings us to Arendt’s notion of public reason, the focus of the last section of chapter two. Arendt repudiated a notion of private reason. “From the start, reason for [Arendt] is public” (65). Reason is public in that it “requires the company of others” (67). Not that thinking is impossible when alone, but one must be free and able to communicate with others. “Thinking can be conducted only if accompanied by the freedom to communicate and exchange thoughts in public” 67). Thinking requires being able “to enlarge one’s mind by incorporating the insights of others” (67).</w:t>
      </w:r>
    </w:p>
    <w:p w14:paraId="3F80326D" w14:textId="77777777" w:rsidR="00FB2BFA" w:rsidRDefault="00FB2BFA">
      <w:r>
        <w:tab/>
        <w:t>Arendt’s notion of public reason has nothing to do with consensus, or Habermas’s “generalized intent of reason.” It could not be more different from Rousseau’s general will, one, indivisible, divested of any and all particular interests. Public reason, for her, not only requires a plurality of standpoints, the plurality must include foreignness, difference, alterity; concretely, it must embrace minorities, refuges, migrants (64).</w:t>
      </w:r>
    </w:p>
    <w:p w14:paraId="341B4488" w14:textId="77777777" w:rsidR="00FB2BFA" w:rsidRDefault="00FB2BFA">
      <w:r>
        <w:tab/>
        <w:t xml:space="preserve">For Arendt reason is public also in the sense of being worldly. Thought is “never unworldly.” It is “inherently bound to the world of appearances” (67). This is the central argument of </w:t>
      </w:r>
      <w:r>
        <w:rPr>
          <w:i/>
          <w:iCs/>
        </w:rPr>
        <w:t>Life of the Mind. Thinking</w:t>
      </w:r>
      <w:r>
        <w:t xml:space="preserve">, and, in that work, her relentless closing off of all unworldly “places” where thought “goes” gives to the question, “Where are we when we are thinking, an acute sense of anticipation, and gives to her answer, “the present,” a powerful feeling of satisfaction. The thinker “does not leave the cave” (67), “does not leave experience” or “sensibility” (67). </w:t>
      </w:r>
    </w:p>
    <w:p w14:paraId="1520F372" w14:textId="77777777" w:rsidR="00FB2BFA" w:rsidRDefault="00FB2BFA">
      <w:pPr>
        <w:ind w:firstLine="720"/>
      </w:pPr>
      <w:r>
        <w:t xml:space="preserve">Thinking is public in a third sense in that it not only requires others, and not only is bound to world, but it also requires public space in which to </w:t>
      </w:r>
      <w:r>
        <w:rPr>
          <w:u w:val="single"/>
        </w:rPr>
        <w:t>move</w:t>
      </w:r>
      <w:r>
        <w:t xml:space="preserve">, to act. In this regard it is like Arendt’s notion of freedom, which is also understood as intrinsically political and worldly. In fact, thinking is “another mode of moving in the world of freedom” (68). </w:t>
      </w:r>
    </w:p>
    <w:p w14:paraId="2C280E51" w14:textId="77777777" w:rsidR="00FB2BFA" w:rsidRDefault="00FB2BFA">
      <w:pPr>
        <w:ind w:firstLine="720"/>
      </w:pPr>
      <w:r>
        <w:lastRenderedPageBreak/>
        <w:t>Furthermore, in the same way that freedom is inseparable from power as the ability to act, to move, to being in a public space, a space of freedom with others (65), so thinking is inseparable from power. It is, “like action, caught up in beginnings” 68). “If the essence of all, and in particular of political, action is to make a new beginning, then understanding becomes the other side of action” (58).</w:t>
      </w:r>
    </w:p>
    <w:p w14:paraId="17BA1238" w14:textId="77777777" w:rsidR="00FB2BFA" w:rsidRDefault="00FB2BFA">
      <w:r>
        <w:tab/>
        <w:t xml:space="preserve">The connection between thinking and power is not explicit in Birmingham’s discussion, and is not, as far as I know, made explicit by Arendt. The idea of the power of thought tends to get subordinated to its vulnerability. Thus, for example, at the very end of </w:t>
      </w:r>
      <w:r>
        <w:rPr>
          <w:i/>
          <w:iCs/>
        </w:rPr>
        <w:t>Human Condition</w:t>
      </w:r>
      <w:r>
        <w:t xml:space="preserve"> Arendt brings up the activity of thinking and its dependence upon freedom, but not the reverse, the dependence of freedom upon thinking. At the end of </w:t>
      </w:r>
      <w:r>
        <w:rPr>
          <w:i/>
          <w:iCs/>
        </w:rPr>
        <w:t>Life of the Mind. Thinking</w:t>
      </w:r>
      <w:r>
        <w:t>, she observes almost as a concession, that under emergency conditions, thinking becomes important politically. The same point is made by Birmingham, almost in passing, in a paragraph whose main argument is thinking’s dependence on the company of others (67).</w:t>
      </w:r>
    </w:p>
    <w:p w14:paraId="5859AB2F" w14:textId="77777777" w:rsidR="00FB2BFA" w:rsidRDefault="00FB2BFA">
      <w:r>
        <w:tab/>
        <w:t xml:space="preserve">This near diffidence stands in stark contrast to the intensity of feeling one senses in the first Preface to </w:t>
      </w:r>
      <w:r>
        <w:rPr>
          <w:i/>
          <w:iCs/>
        </w:rPr>
        <w:t>The Origins of Totalitarianism</w:t>
      </w:r>
      <w:r>
        <w:t>, where Arendt speaks of the terrible obligation to try to comprehend the evil that Europe has just undergone. Birmingham, in the final paragraph of chapter two speaks of the principles of plurality and publicness as that which animates thought</w:t>
      </w:r>
      <w:r>
        <w:rPr>
          <w:rStyle w:val="FootnoteReference"/>
        </w:rPr>
        <w:t xml:space="preserve"> </w:t>
      </w:r>
      <w:r>
        <w:t xml:space="preserve"> (68) as she has earlier noted that principles not only orient, but also “inspire.” They “move us,” she says (15). They orient us “affectively” (14). And chapter four is devoted to the question of what animates us politically, Nevertheless, I come away feeling that by contrast with the strength, force, and authority of the beginning, the ending of Birmingham’s argument is anticlimactic.</w:t>
      </w:r>
    </w:p>
    <w:p w14:paraId="030916CD" w14:textId="77777777" w:rsidR="00FB2BFA" w:rsidRDefault="00FB2BFA">
      <w:r>
        <w:tab/>
      </w:r>
    </w:p>
    <w:p w14:paraId="0EBC5918" w14:textId="77777777" w:rsidR="00FB2BFA" w:rsidRDefault="00FB2BFA">
      <w:pPr>
        <w:rPr>
          <w:b/>
          <w:bCs/>
        </w:rPr>
      </w:pPr>
      <w:r>
        <w:rPr>
          <w:b/>
          <w:bCs/>
        </w:rPr>
        <w:t>Chapter Three: Politics and the Body. Embodiment without biopolitics.</w:t>
      </w:r>
    </w:p>
    <w:p w14:paraId="6AB29E0C" w14:textId="77777777" w:rsidR="00FB2BFA" w:rsidRDefault="00FB2BFA">
      <w:pPr>
        <w:pStyle w:val="Header"/>
        <w:tabs>
          <w:tab w:val="clear" w:pos="4320"/>
          <w:tab w:val="clear" w:pos="8640"/>
        </w:tabs>
      </w:pPr>
    </w:p>
    <w:p w14:paraId="61662945" w14:textId="77777777" w:rsidR="00FB2BFA" w:rsidRDefault="00FB2BFA">
      <w:r>
        <w:tab/>
        <w:t xml:space="preserve">If in chapters one and two priority is given to the danger of </w:t>
      </w:r>
      <w:r>
        <w:rPr>
          <w:u w:val="single"/>
        </w:rPr>
        <w:t>reducing</w:t>
      </w:r>
      <w:r>
        <w:t xml:space="preserve"> birth to biological embodiment, in chapters three and four priority is given to </w:t>
      </w:r>
      <w:r>
        <w:rPr>
          <w:u w:val="single"/>
        </w:rPr>
        <w:t>affirming</w:t>
      </w:r>
      <w:r>
        <w:t xml:space="preserve"> the physicality of birth, affirming embodiment. In chapters one and two, Birmingham has established the fact that Arendt repudiated the natural law heritage, repudiated appeals to nature as the basis for human rights, and therewith, as fantasies, all attempts to reduce politics to nature, as well as all biological and organic foundations. In chapter three Birmingham turns to the other side, namely, to Arendt’s insistence on “the political affirmation of the givenness of embodied appearance” (1). Politicality dare not be reduced to biological embodiment, but our embodied givenness dare not be excluded either.</w:t>
      </w:r>
    </w:p>
    <w:p w14:paraId="274A2006" w14:textId="77777777" w:rsidR="00FB2BFA" w:rsidRDefault="00FB2BFA">
      <w:r>
        <w:tab/>
        <w:t xml:space="preserve">In this chapter Birmingham is arguing with Arendt against Arendt. There are, Birmingham observes, “two different and at times competing notions of the given in her work” (75). The first includes it in public space; the second excludes it. Inclusion is the point of this chapter, the inclusion of embodied, physical givenness in its uniqueness, singularity, ineradicable difference and alienness at the very heart of political space (91). </w:t>
      </w:r>
    </w:p>
    <w:p w14:paraId="61BB457E" w14:textId="77777777" w:rsidR="00FB2BFA" w:rsidRDefault="00FB2BFA">
      <w:r>
        <w:tab/>
        <w:t xml:space="preserve">The insistence on inclusion runs up against Arendt’s sharply drawn division between private and public space in </w:t>
      </w:r>
      <w:r>
        <w:rPr>
          <w:i/>
          <w:iCs/>
        </w:rPr>
        <w:t>The Human Condition.</w:t>
      </w:r>
      <w:r>
        <w:t xml:space="preserve"> There, she relegates life, </w:t>
      </w:r>
      <w:r>
        <w:rPr>
          <w:i/>
          <w:iCs/>
        </w:rPr>
        <w:t>zoe</w:t>
      </w:r>
      <w:r>
        <w:t xml:space="preserve">, as givenness, to the sphere of the private, the household, the domestic domain," precisely </w:t>
      </w:r>
      <w:r>
        <w:rPr>
          <w:i/>
          <w:iCs/>
        </w:rPr>
        <w:t>not</w:t>
      </w:r>
      <w:r>
        <w:t xml:space="preserve"> public space. (</w:t>
      </w:r>
      <w:r>
        <w:rPr>
          <w:i/>
        </w:rPr>
        <w:t xml:space="preserve">The </w:t>
      </w:r>
      <w:r>
        <w:rPr>
          <w:i/>
          <w:iCs/>
        </w:rPr>
        <w:t>Human Condition</w:t>
      </w:r>
      <w:r>
        <w:t>, 31, cited by Birmingham, 75). In such passages Arendt “</w:t>
      </w:r>
      <w:r>
        <w:rPr>
          <w:i/>
          <w:iCs/>
        </w:rPr>
        <w:t>seems</w:t>
      </w:r>
      <w:r>
        <w:t xml:space="preserve"> to repeat the Western resentment and disavowal of the given,” to have </w:t>
      </w:r>
      <w:r>
        <w:lastRenderedPageBreak/>
        <w:t xml:space="preserve">herself fallen “into the very subterranean stream of Western history” she warns against elsewhere (75).  </w:t>
      </w:r>
    </w:p>
    <w:p w14:paraId="6865DF44" w14:textId="77777777" w:rsidR="00FB2BFA" w:rsidRDefault="00FB2BFA">
      <w:pPr>
        <w:ind w:firstLine="720"/>
      </w:pPr>
      <w:r>
        <w:t xml:space="preserve">Against Arendt’s well-known insistence on exclusion, Birmingham cites evidence, drawn from Arendt’s earliest writings to her 1978 letter to Scholem to the effect that embodied givenness is at the heart of public space. Arendt’s dissertation on Augustine is the crucial text supporting the insistence that the embodied self must be politically affirmed. Birmingham’s argument is that that notion should be regarded as dominant (76).  Arendt “is rethinking the exclusion of givenness, the expulsion of unqualified mere existence from the political space,” indeed, “insisting that this fundamental exclusion be overcome” (76). </w:t>
      </w:r>
    </w:p>
    <w:p w14:paraId="27333482" w14:textId="77777777" w:rsidR="00FB2BFA" w:rsidRDefault="00FB2BFA">
      <w:pPr>
        <w:ind w:firstLine="720"/>
      </w:pPr>
      <w:r>
        <w:t xml:space="preserve">As Birmingham has already made clear, however, the "self" Arendt has in view is not the liberal self. It is not the conventional Western notion of the self as “a fixed and unchangeable datum” (76). Arendt does not invoke a notion of “the natural,” or “human nature understood as substance, or </w:t>
      </w:r>
      <w:r>
        <w:rPr>
          <w:i/>
          <w:iCs/>
        </w:rPr>
        <w:t>ousia</w:t>
      </w:r>
      <w:r>
        <w:t xml:space="preserve">” (76). There is “no fixed human nature, given once for all” (79). The argument for including the given embodied self, physical, biological, within political space, and, at the same time, precluding biologism, rests upon the nonsovereignty of the self. </w:t>
      </w:r>
    </w:p>
    <w:p w14:paraId="72721BEA" w14:textId="77777777" w:rsidR="00FB2BFA" w:rsidRDefault="00FB2BFA">
      <w:pPr>
        <w:ind w:firstLine="720"/>
      </w:pPr>
      <w:r>
        <w:t>Just as Birmingham in chapter two shows how Arendt's principle of initium precludes collective sovereignty, so throughout this chapter, she shows how the principle of givenness "thwarts any claim to sovereignty ... because it is that which is always outside any identity" (87). Heterogeneity or alterity, at the heart of the self, places it outside any "identity" as unqualified, singular, and therefore incompatible with state or individual sovereignty.</w:t>
      </w:r>
    </w:p>
    <w:p w14:paraId="1EA5E528" w14:textId="77777777" w:rsidR="00FB2BFA" w:rsidRDefault="00FB2BFA">
      <w:pPr>
        <w:ind w:firstLine="720"/>
      </w:pPr>
      <w:r>
        <w:t xml:space="preserve">In her dissertation on Augustine, she draws on his understanding of the person as existing "in the mode of relation" (79), as "essentially related to a finite and changing world" (78), to form a notion of the self as “split, heterogeneous, and always in relation to something other than itself” (81). Essential relatedness means that there is no fixed human nature, because human beings "are always transformed by the objects of their desire" (79). Relatedness means "dependence on something outside of ourselves." </w:t>
      </w:r>
    </w:p>
    <w:p w14:paraId="5D5500D4" w14:textId="77777777" w:rsidR="00FB2BFA" w:rsidRDefault="00FB2BFA">
      <w:pPr>
        <w:ind w:firstLine="720"/>
      </w:pPr>
      <w:r>
        <w:t xml:space="preserve">Furthermore, the principle that is our </w:t>
      </w:r>
      <w:r>
        <w:rPr>
          <w:i/>
          <w:iCs/>
        </w:rPr>
        <w:t>physis</w:t>
      </w:r>
      <w:r>
        <w:t xml:space="preserve"> is a principle from which we are estranged (80). The "relatedness" of the self is described as the human being’s "dispersion" in the world, a lostness, an estrangement that "makes the world a desert for human beings" (80). The self is marked by a "radical alterity" at its heart.</w:t>
      </w:r>
    </w:p>
    <w:p w14:paraId="210DA1EE" w14:textId="77777777" w:rsidR="00FB2BFA" w:rsidRDefault="00FB2BFA">
      <w:pPr>
        <w:ind w:firstLine="720"/>
      </w:pPr>
      <w:r>
        <w:t xml:space="preserve">On the other hand, while givenness is </w:t>
      </w:r>
      <w:r>
        <w:rPr>
          <w:i/>
          <w:iCs/>
        </w:rPr>
        <w:t>physis</w:t>
      </w:r>
      <w:r>
        <w:t xml:space="preserve">, and "physis is abandonment" (84), or "exposure" (85), </w:t>
      </w:r>
      <w:r>
        <w:rPr>
          <w:i/>
          <w:iCs/>
        </w:rPr>
        <w:t>physis</w:t>
      </w:r>
      <w:r>
        <w:t xml:space="preserve"> is also </w:t>
      </w:r>
      <w:r>
        <w:rPr>
          <w:i/>
          <w:iCs/>
        </w:rPr>
        <w:t>arche</w:t>
      </w:r>
      <w:r>
        <w:t xml:space="preserve"> (79). The paradox of a </w:t>
      </w:r>
      <w:r>
        <w:rPr>
          <w:i/>
          <w:iCs/>
        </w:rPr>
        <w:t>physis</w:t>
      </w:r>
      <w:r>
        <w:t xml:space="preserve"> that can be described simultaneously as abandonment and principle, abandonment and "relatedness" or solidarity, is decisive for the notion of givenness. </w:t>
      </w:r>
    </w:p>
    <w:p w14:paraId="2309E3EE" w14:textId="77777777" w:rsidR="00FB2BFA" w:rsidRDefault="00FB2BFA">
      <w:pPr>
        <w:ind w:firstLine="720"/>
      </w:pPr>
      <w:r>
        <w:t xml:space="preserve">In the fourth and final part of the chapter inclusion of embodiedness takes concrete form in Arendt’s account of Rahel Varnhagen as a Jew, and a woman. Arguing against Varnhagen’s attempt to assimilate, Arendt insisted on the inescapable givenness of her Jewishness. Despite the fact that Arendt’s later political thought did not include this dimension of political life, it is, says Birmingham, surely what her own thinking called for (98), that is, “a public sphere that guarantees these 'natural rights' - the right to one's uniqueness and singularity, the right to embrace one's embodied existence - sexuality, passions, dress, culture . . .. Not just general human rights but truly individual </w:t>
      </w:r>
      <w:r>
        <w:lastRenderedPageBreak/>
        <w:t>rights - the rights of embodied individuals whose sexuality, passions, and culture are r</w:t>
      </w:r>
      <w:r w:rsidR="00C70A7F">
        <w:t>ecognized in the public sphere.</w:t>
      </w:r>
      <w:r>
        <w:rPr>
          <w:rStyle w:val="FootnoteReference"/>
        </w:rPr>
        <w:footnoteReference w:id="7"/>
      </w:r>
    </w:p>
    <w:p w14:paraId="4D79EB57" w14:textId="77777777" w:rsidR="00FB2BFA" w:rsidRDefault="00FB2BFA">
      <w:pPr>
        <w:ind w:firstLine="720"/>
      </w:pPr>
      <w:r>
        <w:t xml:space="preserve">The phrase, "natural rights" is in quotes, to be sure, but it is startling, nevertheless. Birmingham proceeds to qualify her use of the phrase, to repudiate any reference to notions of an "abstract humanity," and to specify that the phrase has to do, in the case of Varnhagen, with the historical and cultural givenness of her everyday life as a Jew (98), her "second nature." This is entirely consistent with Birmingham's repeated point that givenness is embodied but must never be </w:t>
      </w:r>
      <w:r>
        <w:rPr>
          <w:u w:val="single"/>
        </w:rPr>
        <w:t>reduced</w:t>
      </w:r>
      <w:r>
        <w:t xml:space="preserve"> to biology.</w:t>
      </w:r>
      <w:r>
        <w:rPr>
          <w:rStyle w:val="FootnoteReference"/>
        </w:rPr>
        <w:t xml:space="preserve"> </w:t>
      </w:r>
    </w:p>
    <w:p w14:paraId="59464631" w14:textId="77777777" w:rsidR="00FB2BFA" w:rsidRDefault="00FB2BFA">
      <w:pPr>
        <w:ind w:firstLine="720"/>
      </w:pPr>
      <w:r>
        <w:t>Finally, the paradox finds expression in this chapter epistemologically. The most obvious epistemological themes - remembrance, thinking, and questions - highlight limits, question, and negation. The self is “impenetrable” (80). There is no retreat available for thought into the "self-sufficiency as the inner region of the self" (80).</w:t>
      </w:r>
      <w:r>
        <w:rPr>
          <w:rStyle w:val="FootnoteReference"/>
        </w:rPr>
        <w:footnoteReference w:id="8"/>
      </w:r>
      <w:r>
        <w:t xml:space="preserve"> Givenness "does not yield the resolute human being but instead yields one whose being is now called into question" (80). Memory arises out of an origin that "cannot be recalled" (81). </w:t>
      </w:r>
    </w:p>
    <w:p w14:paraId="77FF9A9E" w14:textId="77777777" w:rsidR="00FB2BFA" w:rsidRDefault="00FB2BFA">
      <w:pPr>
        <w:ind w:firstLine="720"/>
      </w:pPr>
      <w:r>
        <w:t xml:space="preserve">On the other hand, the term “givenness” carries a connotation of epistemological foundation, ground, premise, assumption. Birmingham herself uses the term in this sense, for example, when “translation” is described, in contrast to hermeneutics, as having to do with "what is not given." There is "no reflection on an already given content or object" (21). </w:t>
      </w:r>
    </w:p>
    <w:p w14:paraId="23DB90EB" w14:textId="77777777" w:rsidR="00FB2BFA" w:rsidRDefault="00FB2BFA">
      <w:pPr>
        <w:ind w:firstLine="720"/>
      </w:pPr>
      <w:r>
        <w:t xml:space="preserve">Is this sense of givenness wholly absent from the givenness that springs out of natality? On the contrary, it is emphatically present in the decisive concept of principle. But, and this becomes even more emphatic in chapter four, the principles given in the event of natality are not abstractions; they are embodied. Birth, after all, is physical, biological, an event of bodies. </w:t>
      </w:r>
      <w:r>
        <w:rPr>
          <w:iCs/>
          <w:u w:val="single"/>
        </w:rPr>
        <w:t>While natality cannot be reduced to naked biology, principle cannot be abstracted from biology, from the viscera</w:t>
      </w:r>
      <w:r>
        <w:rPr>
          <w:u w:val="single"/>
        </w:rPr>
        <w:t>l</w:t>
      </w:r>
      <w:r>
        <w:t xml:space="preserve">. </w:t>
      </w:r>
    </w:p>
    <w:p w14:paraId="3953420A" w14:textId="77777777" w:rsidR="00FB2BFA" w:rsidRDefault="00FB2BFA">
      <w:pPr>
        <w:pStyle w:val="Header"/>
        <w:tabs>
          <w:tab w:val="clear" w:pos="4320"/>
          <w:tab w:val="clear" w:pos="8640"/>
        </w:tabs>
      </w:pPr>
    </w:p>
    <w:p w14:paraId="4A195C17" w14:textId="77777777" w:rsidR="00FB2BFA" w:rsidRDefault="00FB2BFA">
      <w:pPr>
        <w:rPr>
          <w:b/>
          <w:bCs/>
        </w:rPr>
      </w:pPr>
      <w:r>
        <w:rPr>
          <w:b/>
          <w:bCs/>
        </w:rPr>
        <w:t xml:space="preserve">Chapter Four: Politics and Animation. Relocating the border, refounding the world. </w:t>
      </w:r>
    </w:p>
    <w:p w14:paraId="49EEABC2" w14:textId="77777777" w:rsidR="00FB2BFA" w:rsidRDefault="00FB2BFA"/>
    <w:p w14:paraId="643FFD4D" w14:textId="77777777" w:rsidR="00FB2BFA" w:rsidRDefault="00FB2BFA">
      <w:r>
        <w:lastRenderedPageBreak/>
        <w:tab/>
        <w:t xml:space="preserve">In chapter four Birmingham's affirmation of the physicality of birth draws on psychoanalysis, taking up Kristeva's critique of Arendt for ignoring psychoanalysis. At issue in Kristeva's critique is the fundamental ambiguity of the event of natality. At the heart of the birth event is "abjection," the moment of separation, desolation, abandonment (115, 119). And, for Kristeva, "abjection is above all </w:t>
      </w:r>
      <w:r>
        <w:rPr>
          <w:i/>
          <w:iCs/>
        </w:rPr>
        <w:t>ambiguity</w:t>
      </w:r>
      <w:r>
        <w:t>" (119). As such, it is "the source of both creation and meaning and of absence, estrangement, desolation" (119).</w:t>
      </w:r>
    </w:p>
    <w:p w14:paraId="05E56C49" w14:textId="77777777" w:rsidR="00FB2BFA" w:rsidRDefault="00FB2BFA">
      <w:pPr>
        <w:ind w:firstLine="720"/>
      </w:pPr>
      <w:r>
        <w:t xml:space="preserve">According to Kristeva, Arendt's one-sided attention to gratitude left out of account the sadomasochistic desire that was </w:t>
      </w:r>
      <w:r>
        <w:rPr>
          <w:iCs/>
          <w:u w:val="single"/>
        </w:rPr>
        <w:t>also</w:t>
      </w:r>
      <w:r>
        <w:t xml:space="preserve"> at the very heart of natality (114). And this left her unable to account for fear, ambition, and violence, the animating vices ultimately behind the unfathomable destructiveness and radical evil she fully acknowledged and sought to comprehend in </w:t>
      </w:r>
      <w:r>
        <w:rPr>
          <w:i/>
          <w:iCs/>
        </w:rPr>
        <w:t>Origins</w:t>
      </w:r>
      <w:r>
        <w:t>.</w:t>
      </w:r>
    </w:p>
    <w:p w14:paraId="4D77E2EB" w14:textId="77777777" w:rsidR="00FB2BFA" w:rsidRDefault="00FB2BFA">
      <w:r>
        <w:tab/>
        <w:t xml:space="preserve">As Birmingham points out, Arendt </w:t>
      </w:r>
      <w:r>
        <w:rPr>
          <w:u w:val="single"/>
        </w:rPr>
        <w:t>did</w:t>
      </w:r>
      <w:r>
        <w:t xml:space="preserve"> recognize that the event of natality carries with it "our own desolation" and therefore "the ever-present threat of radical evil as the refusal of this desolation" (113). One of her most disturbing insights is that the same circumstance which has disclosed the ontological event of natality as "a new, until now hidden ground of the human condition that is the source of a principle of humanity" is also the circumstance that has disclosed the radical evil that humanity is capable of (16). </w:t>
      </w:r>
    </w:p>
    <w:p w14:paraId="0B492645" w14:textId="77777777" w:rsidR="00FB2BFA" w:rsidRDefault="00FB2BFA">
      <w:r>
        <w:tab/>
        <w:t xml:space="preserve">While, therefore, Arendt recognizes both gratitude and anxiety at the heart of human existence, "she does not fully see both as part of the event of natality. Instead, she splits them apart;  "she locates fear and anxiety as being towards death, while she sees gratitude as arising out of a primordial meaning of the event of natality" 123). </w:t>
      </w:r>
    </w:p>
    <w:p w14:paraId="104DD0D4" w14:textId="77777777" w:rsidR="00FB2BFA" w:rsidRDefault="00FB2BFA">
      <w:pPr>
        <w:ind w:firstLine="720"/>
      </w:pPr>
      <w:r>
        <w:t xml:space="preserve">Kristeva, in her critique of Arendt, argues that </w:t>
      </w:r>
      <w:r>
        <w:rPr>
          <w:u w:val="single"/>
        </w:rPr>
        <w:t>birth</w:t>
      </w:r>
      <w:r>
        <w:t xml:space="preserve"> is "always double, but no longer dangerously split," and therefore "how violence can give way to gratitude." Kristeva’s analysis of birth as fundamentally ambiguous makes it possible for her to give full weight to its biological reality without succumbing to biologism. She draws on psychoanalysis to describe the full visceral quality of abjection. "It is the feeling of loathing and disgust ... aversion ... nausea ... and ... of fascination." It is "the affective dynamic of attraction and repulsion with the mother's body in the labor pains of emerging subjectivity" 119). </w:t>
      </w:r>
    </w:p>
    <w:p w14:paraId="14510B7E" w14:textId="77777777" w:rsidR="00FB2BFA" w:rsidRDefault="00FB2BFA">
      <w:pPr>
        <w:ind w:firstLine="720"/>
      </w:pPr>
      <w:r>
        <w:t>The ambiguity is not only described in visceral terms, it links the visceral to the political, by tracing the animating source of both domination and freedom to natality, giving due weight to the fundamental ambiguity of its animating principles; an ambiguity grounded ontologically and physically in "the birth pangs of a body" (115), "the very first birth pangs of embodiment" (116)</w:t>
      </w:r>
    </w:p>
    <w:p w14:paraId="04329647" w14:textId="77777777" w:rsidR="00FB2BFA" w:rsidRDefault="00FB2BFA">
      <w:pPr>
        <w:ind w:firstLine="720"/>
      </w:pPr>
      <w:r>
        <w:t>The consequence of Kristeva's insistence that the ambiguity is primordially embodied is decisive for the connection between epistemology and embodiment, thought and feeling, reason and the visceral. Rather than positing a movement from "blind" drives to symbolization, Kristeva, following Melanie Klein against Freud, holds that drives are "imbued with rudimentary symbolization" 117). Over against Hobbes, who held that "there is a primordial violence to the passions that forever eludes language," Kristeva argued that "the primordial violence of the passions is always already redirected by a rudimentary symbolization" 117).</w:t>
      </w:r>
    </w:p>
    <w:p w14:paraId="23BBC96F" w14:textId="77777777" w:rsidR="00FB2BFA" w:rsidRDefault="00FB2BFA">
      <w:r>
        <w:tab/>
        <w:t xml:space="preserve">The consequence of this redescription is momentous. The conflict between the possibility of radical evil and the possibility of owning our common responsibility arising out of the double-sidedness of birth replaces the notion, so constitutive for modernity's </w:t>
      </w:r>
      <w:r>
        <w:lastRenderedPageBreak/>
        <w:t xml:space="preserve">thought-ways, of a split between passion and reason. In Birmingham's terms, the "border conflict" has been relocated: </w:t>
      </w:r>
    </w:p>
    <w:p w14:paraId="762B5E2B" w14:textId="77777777" w:rsidR="00FB2BFA" w:rsidRDefault="00FB2BFA">
      <w:pPr>
        <w:ind w:left="720"/>
      </w:pPr>
      <w:r>
        <w:t>Rather than understanding abjection as the border conflict between the semiotic drives and symbolic processes, Kristeva's reading of Klein relocates the border conflict of abjection in the conflict between the inherent destructiveness of the sadistic aim and the reparative aim of gratitude (117).</w:t>
      </w:r>
    </w:p>
    <w:p w14:paraId="78C89652" w14:textId="77777777" w:rsidR="00FB2BFA" w:rsidRDefault="00FB2BFA">
      <w:r>
        <w:tab/>
        <w:t>The point here is so crucial it demands a summary restatement, at the risk of oversimplifying a dense, highly nuanced discussion. The modern liberal political tradition demands that reason separate itself from passion, overcome passion. Arendt demands that the positive passion of gratitude be owned as the spring of thought. Birmingham, following Kristeva and Arendt, goes a step further, demanding that both fear and gratitude be owned as coeval passions animating us semiotically, symbolically, linguistically, epistemologically, intellectually, as persisting possibilities of our shared human condition.</w:t>
      </w:r>
    </w:p>
    <w:p w14:paraId="423BCDFC" w14:textId="77777777" w:rsidR="00FB2BFA" w:rsidRDefault="00FB2BFA">
      <w:r>
        <w:tab/>
        <w:t>The clear-cut "border" between body and mind is blurred in Birmingham’s rich build-up of nuanced terms and concepts on both sides of the divide. On the "body" side are the references to "the body of drives and passions," "sensation," "tensions" and "processes" within the body, "affects," "psychic energy," the "translinguistic primary level of drives," "birth pangs of embodiment," the "level of the bodily process," "energy discharges," "desire," "flesh" (117-119).</w:t>
      </w:r>
    </w:p>
    <w:p w14:paraId="0B5A22AD" w14:textId="77777777" w:rsidR="00FB2BFA" w:rsidRDefault="00FB2BFA">
      <w:r>
        <w:tab/>
        <w:t>On the "mind" side are "representation," "word," "language," "linguistic natality," linguistic birth," "symbolic order," "primary symbolization," "rudimentary symbolization," "signs", "signifiers," "signifying process," "semiotic", "imagination," "fantasy" (116, 117)</w:t>
      </w:r>
    </w:p>
    <w:p w14:paraId="1BF1106E" w14:textId="77777777" w:rsidR="00FB2BFA" w:rsidRDefault="00FB2BFA">
      <w:r>
        <w:tab/>
        <w:t>From both sides the cascading terms move toward each other and combine in “semiotic drives,” what another Arendt student calls the “semiotic body”</w:t>
      </w:r>
      <w:r>
        <w:rPr>
          <w:rStyle w:val="FootnoteReference"/>
        </w:rPr>
        <w:footnoteReference w:id="9"/>
      </w:r>
      <w:r>
        <w:t xml:space="preserve">. They interpenetrate - "flesh within the word," "incarnation" - so that the "sides" are impossible to sort out. "From the start, the infant's psychic universe is consumed with a 'primary symbolization' in an affective reality" (117). Again, "from the moment of birth, the drive engages in a binary expression: sensation/affect and the object </w:t>
      </w:r>
      <w:r>
        <w:rPr>
          <w:i/>
          <w:iCs/>
        </w:rPr>
        <w:t>coexist</w:t>
      </w:r>
      <w:r>
        <w:t>, and the presentation of the object clings to sensation" (117, citing Kristeva).</w:t>
      </w:r>
    </w:p>
    <w:p w14:paraId="0A100DAD" w14:textId="77777777" w:rsidR="00FB2BFA" w:rsidRDefault="00FB2BFA">
      <w:r>
        <w:tab/>
        <w:t xml:space="preserve">I find it surprising that in </w:t>
      </w:r>
      <w:r>
        <w:rPr>
          <w:i/>
          <w:iCs/>
        </w:rPr>
        <w:t>Life of the Mind</w:t>
      </w:r>
      <w:r>
        <w:t xml:space="preserve">, Arendt never discusses the metaphor of the "concept," a term that seems to be irresistibly suggested by natality and that brings the animating energies of embodiment together with linguistic and representational practices. The startling soliloquy in Shakespeare's </w:t>
      </w:r>
      <w:r>
        <w:rPr>
          <w:i/>
          <w:iCs/>
        </w:rPr>
        <w:t>Richard II</w:t>
      </w:r>
      <w:r>
        <w:t xml:space="preserve"> also come to mind, lines in which the deposed, imprisoned king sets up his conversation with himself:</w:t>
      </w:r>
    </w:p>
    <w:p w14:paraId="24E964CA" w14:textId="77777777" w:rsidR="00FB2BFA" w:rsidRDefault="00FB2BFA">
      <w:pPr>
        <w:ind w:left="720"/>
      </w:pPr>
      <w:r>
        <w:t>My brain I'll prove the female to my soul,</w:t>
      </w:r>
    </w:p>
    <w:p w14:paraId="28CC630A" w14:textId="77777777" w:rsidR="00FB2BFA" w:rsidRDefault="00FB2BFA">
      <w:pPr>
        <w:ind w:left="720"/>
      </w:pPr>
      <w:r>
        <w:t>My soul the husband, and these two beget,</w:t>
      </w:r>
    </w:p>
    <w:p w14:paraId="44003F50" w14:textId="77777777" w:rsidR="00FB2BFA" w:rsidRDefault="00FB2BFA">
      <w:pPr>
        <w:ind w:left="720"/>
      </w:pPr>
      <w:r>
        <w:t>A generation of still-breeding thoughts.</w:t>
      </w:r>
      <w:r>
        <w:rPr>
          <w:rStyle w:val="FootnoteReference"/>
        </w:rPr>
        <w:footnoteReference w:id="10"/>
      </w:r>
    </w:p>
    <w:p w14:paraId="5889C13E" w14:textId="77777777" w:rsidR="00FB2BFA" w:rsidRDefault="00FB2BFA">
      <w:r>
        <w:t xml:space="preserve">What is astonishing about these lines is the direction of "insemination," from soul into mind. The same image is suggested by Birmingham's account, which carries out another radical reversal of tradition, consistent with the many reversals Arendt enacted in </w:t>
      </w:r>
      <w:r>
        <w:rPr>
          <w:i/>
          <w:iCs/>
        </w:rPr>
        <w:t>Human Condition</w:t>
      </w:r>
      <w:r>
        <w:t xml:space="preserve">. </w:t>
      </w:r>
    </w:p>
    <w:p w14:paraId="37C757EB" w14:textId="77777777" w:rsidR="00FB2BFA" w:rsidRDefault="00FB2BFA">
      <w:r>
        <w:lastRenderedPageBreak/>
        <w:tab/>
        <w:t xml:space="preserve">Does "concept" as a metaphor suggest too close a connection between embodiment and thought? Is that why Arendt does not bring it up in </w:t>
      </w:r>
      <w:r>
        <w:rPr>
          <w:i/>
          <w:iCs/>
        </w:rPr>
        <w:t>Life of the Mind</w:t>
      </w:r>
      <w:r>
        <w:t>? If the connection of body and mind is ambiguous all the way down, then all notions of the connection as a deterministic chain are broken, and the full, visceral, animating energies of embodiment for thought can be affirmed.</w:t>
      </w:r>
    </w:p>
    <w:p w14:paraId="75849787" w14:textId="77777777" w:rsidR="00FB2BFA" w:rsidRDefault="00FB2BFA">
      <w:r>
        <w:tab/>
        <w:t>The border conflict is not between passion and thought, but between two responses both of which are viscerally epistemic, two responses of the semiotic body: between owning desolation, and thereby transforming it into gratitude, or denying it and thereby giving in to fear and violence.</w:t>
      </w:r>
      <w:r>
        <w:rPr>
          <w:rStyle w:val="FootnoteReference"/>
        </w:rPr>
        <w:footnoteReference w:id="11"/>
      </w:r>
    </w:p>
    <w:p w14:paraId="7AB608FB" w14:textId="77777777" w:rsidR="00FB2BFA" w:rsidRDefault="00FB2BFA"/>
    <w:p w14:paraId="34837773" w14:textId="77777777" w:rsidR="00FB2BFA" w:rsidRDefault="00FB2BFA">
      <w:pPr>
        <w:pStyle w:val="Heading1"/>
      </w:pPr>
      <w:r>
        <w:t>Judgment versus Truth:  The epistemic status of the principles of natality</w:t>
      </w:r>
    </w:p>
    <w:p w14:paraId="328A50C4" w14:textId="77777777" w:rsidR="00FB2BFA" w:rsidRDefault="00FB2BFA"/>
    <w:p w14:paraId="7F494ECF" w14:textId="77777777" w:rsidR="00FB2BFA" w:rsidRDefault="00FB2BFA">
      <w:pPr>
        <w:ind w:firstLine="720"/>
      </w:pPr>
      <w:r>
        <w:t xml:space="preserve">What is the epistemic status of the claim to find in the principles of the event of natality an ontological foundation for politics? The claim is paradoxical, as is clear throughout Birmingham’s work. On the one hand, Birmingham speaks the language of power, authority, and principle; on the other, of fragility and nonsovereignty, calling attention, in the end, to “the burden of questioning and doubting inherent in the very event of natality.” On the one hand, she speaks of “resolute” response in the moment of insight (31); on the other, she asserts that the response is </w:t>
      </w:r>
      <w:r>
        <w:rPr>
          <w:iCs/>
          <w:u w:val="single"/>
        </w:rPr>
        <w:t>not</w:t>
      </w:r>
      <w:r>
        <w:t xml:space="preserve"> resolute (80).</w:t>
      </w:r>
    </w:p>
    <w:p w14:paraId="3A6152B6" w14:textId="77777777" w:rsidR="00FB2BFA" w:rsidRDefault="00FB2BFA">
      <w:pPr>
        <w:ind w:firstLine="720"/>
      </w:pPr>
      <w:r>
        <w:t xml:space="preserve">The question of the epistemic status of the claims made by Birmingham on behalf of Arendt is above all raised by the repudiation of the notion that these are truth claims (12, 15, 27, 128, 129). Why should we be oriented by initium, givenness, publicness, and plurality if these principles are not truth claims? </w:t>
      </w:r>
    </w:p>
    <w:p w14:paraId="42AEDF2B" w14:textId="77777777" w:rsidR="00FB2BFA" w:rsidRDefault="00FB2BFA">
      <w:pPr>
        <w:ind w:firstLine="720"/>
      </w:pPr>
      <w:r>
        <w:t xml:space="preserve">Birmingham refers to “a kind of thinking governed by neither legal, moral, nor religious principles,” a “way of thinking without recourse to transcendent principles” (129). What is this kind of thinking? How can it be characterized positively? </w:t>
      </w:r>
    </w:p>
    <w:p w14:paraId="49B4404C" w14:textId="77777777" w:rsidR="00FB2BFA" w:rsidRDefault="00FB2BFA">
      <w:pPr>
        <w:ind w:firstLine="720"/>
      </w:pPr>
      <w:r>
        <w:t>Following Lessing, she offers a hint, a rule, by which to “judge our ‘truths,” namely, “Would any such doctrine, however convincingly proved, be worth the sacrifice of so much as a single friendship between two men?” In other words, “the political principle is friendship,” which “retreats from a notion of truth as objective.” This is not “subjective relativism” because it is “guided by a fundamental exigency,” namely, our responsibility for what is just and unjust, answering for our deeds and words.” This political friendship is not “the warmth of fraternity,” because as has been made eminently clear, it is not animated by the desire to avoid disputes, conflicts, differences and distinctions.</w:t>
      </w:r>
    </w:p>
    <w:p w14:paraId="23138EFC" w14:textId="77777777" w:rsidR="00FB2BFA" w:rsidRDefault="00FB2BFA">
      <w:pPr>
        <w:ind w:firstLine="720"/>
      </w:pPr>
      <w:r>
        <w:t xml:space="preserve">Can we say anything more about this kind of thinking and judgment that involves a political claim, not a truth claim? </w:t>
      </w:r>
    </w:p>
    <w:p w14:paraId="40611830" w14:textId="77777777" w:rsidR="00FB2BFA" w:rsidRDefault="00FB2BFA">
      <w:pPr>
        <w:ind w:firstLine="720"/>
      </w:pPr>
      <w:r>
        <w:lastRenderedPageBreak/>
        <w:t>Linda Zerilli takes up this question at the end of her recent monograph on Arendt.</w:t>
      </w:r>
      <w:r>
        <w:rPr>
          <w:rStyle w:val="FootnoteReference"/>
        </w:rPr>
        <w:footnoteReference w:id="12"/>
      </w:r>
      <w:r>
        <w:t xml:space="preserve"> The problem of politics, she suggests, “is not to discover new facts about society; the facts are there to be had. The problem is for each of us to discover our position with respect to these facts: with whom am I in community?” (171). The way we go about this is by </w:t>
      </w:r>
      <w:r>
        <w:rPr>
          <w:iCs/>
          <w:u w:val="single"/>
        </w:rPr>
        <w:t>claiming</w:t>
      </w:r>
      <w:r>
        <w:t xml:space="preserve"> “commonality,” positing it in </w:t>
      </w:r>
      <w:r>
        <w:rPr>
          <w:iCs/>
          <w:u w:val="single"/>
        </w:rPr>
        <w:t>anticipation</w:t>
      </w:r>
      <w:r>
        <w:t xml:space="preserve"> of agreement. The agreement “is what we at once take for granted and hope to achieve whenever we take the risk … of speaking politically” (173). </w:t>
      </w:r>
    </w:p>
    <w:p w14:paraId="67E9BD94" w14:textId="77777777" w:rsidR="00FB2BFA" w:rsidRDefault="00FB2BFA">
      <w:pPr>
        <w:ind w:firstLine="720"/>
      </w:pPr>
      <w:r>
        <w:t xml:space="preserve">Because there is never a final, fixed ground for such a claim, “speaking politically is about testing the limits to every claim to community” (172). It is always open to contestation, always anticipatory, always performative. In other words, political claims can only be tested </w:t>
      </w:r>
      <w:r>
        <w:rPr>
          <w:iCs/>
          <w:u w:val="single"/>
        </w:rPr>
        <w:t>in action</w:t>
      </w:r>
      <w:r>
        <w:t>, through what Zerilli calls the “practice of freedom” (168).</w:t>
      </w:r>
    </w:p>
    <w:p w14:paraId="0D1AD64C" w14:textId="77777777" w:rsidR="00FB2BFA" w:rsidRDefault="00FB2BFA">
      <w:pPr>
        <w:ind w:firstLine="720"/>
      </w:pPr>
      <w:r>
        <w:t>Nevertheless, it is also always “an act of closure” in which we speak for others. Politics cannot be only a practice of doubt (179). It demands the courage to affirm, to enact closure, to make claims and judgments, to say this is what “we” say,</w:t>
      </w:r>
      <w:r>
        <w:rPr>
          <w:rStyle w:val="FootnoteReference"/>
        </w:rPr>
        <w:footnoteReference w:id="13"/>
      </w:r>
      <w:r>
        <w:t xml:space="preserve"> what ‘we” hold, the courage and the resolution to own the responsibility and authority to speak for “us,” on behalf of the commonality of our world. Birmingham's book is such a claim, a claim to speak for "us," for the world, an affirmation, a political act.</w:t>
      </w:r>
    </w:p>
    <w:p w14:paraId="599BDAEE" w14:textId="77777777" w:rsidR="00FB2BFA" w:rsidRDefault="00FB2BFA">
      <w:pPr>
        <w:ind w:firstLine="720"/>
      </w:pPr>
      <w:r>
        <w:t xml:space="preserve">Zerilli’s characterization of political claims as performative, predicative, and anticipatory fits Birmingham’s insistence on the performative, inaugurative character of political speech. It also illuminates the significance of Birmingham’s emphasis upon natality as </w:t>
      </w:r>
      <w:r>
        <w:rPr>
          <w:iCs/>
          <w:u w:val="single"/>
        </w:rPr>
        <w:t>event</w:t>
      </w:r>
      <w:r>
        <w:t xml:space="preserve">. The tensions and paradoxes that permeate Birmingham’s account are, in Zerilli’s words “constitutive and ineradicable” just because they can only be “resolved” in the ongoing practice of freedom. </w:t>
      </w:r>
    </w:p>
    <w:p w14:paraId="4B2AB494" w14:textId="77777777" w:rsidR="00FB2BFA" w:rsidRDefault="00FB2BFA">
      <w:pPr>
        <w:ind w:firstLine="720"/>
      </w:pPr>
      <w:r>
        <w:t xml:space="preserve">The shift to practice, or action, is not in and of itself noteworthy. Emphasis on action in critique of liberal rationalism is a commonplace. In the latest example radical action has been a leitmotif of the Bush administration since 9/11. As a senior adviser to the President told the journalist, Ron Suskind, </w:t>
      </w:r>
    </w:p>
    <w:p w14:paraId="405E5C9F" w14:textId="77777777" w:rsidR="00FB2BFA" w:rsidRDefault="00FB2BFA">
      <w:pPr>
        <w:ind w:left="360"/>
      </w:pPr>
      <w:r>
        <w:t>“We’re an empire now, and when we act, we create our own reality. And while you’re studying that reality – judiciously, as you will – we’ll act again, creating other new realities, which you can study too, and that’s how things will sort out. We’re history’s actors . . . and you, all of you, will be left to just study what we do”</w:t>
      </w:r>
      <w:r>
        <w:rPr>
          <w:rStyle w:val="FootnoteReference"/>
        </w:rPr>
        <w:footnoteReference w:id="14"/>
      </w:r>
    </w:p>
    <w:p w14:paraId="7F1404D8" w14:textId="77777777" w:rsidR="00FB2BFA" w:rsidRDefault="00FB2BFA">
      <w:pPr>
        <w:ind w:firstLine="360"/>
      </w:pPr>
      <w:r>
        <w:t xml:space="preserve">If one did not know the source of this quote and were to remove the reference to empire, it could be mistaken for a manifesto of social constructionist postmodernism, unusual in its aggressiveness, but with the exception of that anomaly, precisely the kind of thinking about reality that has been attacked for its relativism and abandonment of standards of truth, morality, virtue, and values. The rhetoric of faith appears to exempt the administration from such charges. But Arendt, for one, in </w:t>
      </w:r>
      <w:r>
        <w:rPr>
          <w:i/>
          <w:iCs/>
        </w:rPr>
        <w:t>Origins</w:t>
      </w:r>
      <w:r>
        <w:t>, showed how absolutist faith, absolutist ideology, can coexist with and indeed can lead to absolute arbitrariness in action.</w:t>
      </w:r>
    </w:p>
    <w:p w14:paraId="3E0ABE71" w14:textId="77777777" w:rsidR="00FB2BFA" w:rsidRDefault="00FB2BFA">
      <w:pPr>
        <w:ind w:firstLine="360"/>
      </w:pPr>
      <w:r>
        <w:t xml:space="preserve">Before challenging the administration, however, it is first absolutely critical to acknowledge the element of legitimacy in its celebration of action in critique of liberalism in its rationalist forms. More bluntly, it is essential to recognize the </w:t>
      </w:r>
      <w:r>
        <w:lastRenderedPageBreak/>
        <w:t xml:space="preserve">resemblance between Arendt and the Bush administration on this point. Suskind's quote evokes not only postmodern constructionism, but, in its reference to "history's actors," inescapably reminds one of Arendt's own celebration of heroic action. Only by recognizing this resemblance can the differences be clearly drawn. Only if the grain of truth in the administration's valuation of action is acknowledged can the measure of its threat to political freedom be taken. For the same reason, Arendt herself did not draw back from drawing attention to the apotheosis of action as a feature of totalitarianism in a passage in </w:t>
      </w:r>
      <w:r>
        <w:rPr>
          <w:i/>
        </w:rPr>
        <w:t>Origins,</w:t>
      </w:r>
      <w:r>
        <w:rPr>
          <w:rStyle w:val="FootnoteReference"/>
          <w:i/>
        </w:rPr>
        <w:footnoteReference w:id="15"/>
      </w:r>
      <w:r>
        <w:t xml:space="preserve"> highlighting "the primacy of sheer action" in totalitarian movements, that evokes a disturbing echo of her own elevation of the </w:t>
      </w:r>
      <w:r>
        <w:rPr>
          <w:i/>
          <w:iCs/>
        </w:rPr>
        <w:t>via activa</w:t>
      </w:r>
      <w:r>
        <w:t xml:space="preserve"> in </w:t>
      </w:r>
      <w:r>
        <w:rPr>
          <w:i/>
          <w:iCs/>
        </w:rPr>
        <w:t>The Human Condition</w:t>
      </w:r>
      <w:r>
        <w:rPr>
          <w:iCs/>
        </w:rPr>
        <w:t>.</w:t>
      </w:r>
      <w:r>
        <w:t xml:space="preserve"> </w:t>
      </w:r>
    </w:p>
    <w:p w14:paraId="3D38C526" w14:textId="77777777" w:rsidR="00FB2BFA" w:rsidRDefault="00FB2BFA">
      <w:r>
        <w:tab/>
        <w:t>It may seem perverse to compare Arendt and the Bush administration. Critics of Arendt have drawn back from suggesting any sort of resemblance between her ideas about action and totalitarian "activism." However, some have criticized her thinking for its arbitrary "decisionism,"</w:t>
      </w:r>
      <w:r>
        <w:rPr>
          <w:rStyle w:val="FootnoteReference"/>
        </w:rPr>
        <w:footnoteReference w:id="16"/>
      </w:r>
      <w:r>
        <w:t xml:space="preserve"> tracing this to her roots in the existentialism of Heidegger and in particular to aspects of his thinking which drew him in 1933 to promote a National Socialist vision for Germany in his infamous rector's address. </w:t>
      </w:r>
    </w:p>
    <w:p w14:paraId="45F02350" w14:textId="77777777" w:rsidR="00FB2BFA" w:rsidRDefault="00FB2BFA">
      <w:pPr>
        <w:ind w:firstLine="720"/>
      </w:pPr>
      <w:r>
        <w:t xml:space="preserve">It may seem equally perverse to find an echo of existentialism in Bush's cult of action, but the news that Bush's summer reading in 2006 included Camus's </w:t>
      </w:r>
      <w:r>
        <w:rPr>
          <w:i/>
        </w:rPr>
        <w:t>The Stranger</w:t>
      </w:r>
      <w:r>
        <w:t xml:space="preserve">," invites just such a possibility. Adam Gopnik, in </w:t>
      </w:r>
      <w:r>
        <w:rPr>
          <w:i/>
        </w:rPr>
        <w:t>The New Yorker</w:t>
      </w:r>
      <w:r>
        <w:t>, reflected that Bush might have been led to reflect on the risks at stake in freedom, which entails the freedom to do evil. More specifically, Gopnik muses, Bush might have been led to reflect on the possibility that "the zeal of the neocon pamphleteers of summers past seems now to have come less from any strategic certainties than from the urge to some kind of muscular self-assertion"</w:t>
      </w:r>
      <w:r>
        <w:rPr>
          <w:rStyle w:val="FootnoteReference"/>
        </w:rPr>
        <w:footnoteReference w:id="17"/>
      </w:r>
      <w:r>
        <w:t xml:space="preserve">. </w:t>
      </w:r>
    </w:p>
    <w:p w14:paraId="28878C1B" w14:textId="77777777" w:rsidR="00FB2BFA" w:rsidRDefault="00FB2BFA">
      <w:r>
        <w:tab/>
        <w:t>Whereas Gopnik avoids any direct reference to a link between the administration's cult of action and its complicity in torture, William Pfaff is explicit about the connection between the neoconservative "cult of power" and "the real if unavowed appeal of sadism and nihilism" at work in "the will of the government" bent not only on imposing an American policy on its enemies but to degrade and humiliate them."</w:t>
      </w:r>
      <w:r>
        <w:rPr>
          <w:rStyle w:val="FootnoteReference"/>
        </w:rPr>
        <w:footnoteReference w:id="18"/>
      </w:r>
    </w:p>
    <w:p w14:paraId="7316ABB1" w14:textId="77777777" w:rsidR="00FB2BFA" w:rsidRDefault="00FB2BFA">
      <w:r>
        <w:tab/>
        <w:t xml:space="preserve">Pfaff's charge of nihilism is striking because it is directed against the political right. We are accustomed to hearing it directed against the postmodern left. Furthermore Pfaff's use of the term is not abstractly philosophical. He is talking about the nihilistic violence of degrading, sadistic humiliation and torture, the administration's decision "to place itself outside the moral community of modern Western democratic civilization" (50). The ultimate justification for its radical unilateralism, however, not cited by Pfaff, is the higher law of Bush's Christian faith. </w:t>
      </w:r>
    </w:p>
    <w:p w14:paraId="47C594DE" w14:textId="77777777" w:rsidR="00FB2BFA" w:rsidRDefault="00FB2BFA">
      <w:pPr>
        <w:ind w:firstLine="720"/>
      </w:pPr>
      <w:r>
        <w:t xml:space="preserve">The appeal to faith, to the authority of divine law, appears to be as far removed as one can get from the arbitrary rule, relativism, and nihilism popularly associated with postmodernism. Nevertheless, what Bush has reminded us is how arbitrary such authority </w:t>
      </w:r>
      <w:r>
        <w:lastRenderedPageBreak/>
        <w:t>can be when it is claimed by one man, and when there is no appeal beyond the “unitary executive,”</w:t>
      </w:r>
      <w:r>
        <w:rPr>
          <w:rStyle w:val="FootnoteReference"/>
        </w:rPr>
        <w:footnoteReference w:id="19"/>
      </w:r>
      <w:r>
        <w:t xml:space="preserve"> the will of the single human voice regarding what divine authority says. </w:t>
      </w:r>
    </w:p>
    <w:p w14:paraId="01ECF453" w14:textId="77777777" w:rsidR="00FB2BFA" w:rsidRDefault="00FB2BFA"/>
    <w:p w14:paraId="7A65C84D" w14:textId="77777777" w:rsidR="00FB2BFA" w:rsidRDefault="00FB2BFA">
      <w:pPr>
        <w:rPr>
          <w:b/>
          <w:bCs/>
        </w:rPr>
      </w:pPr>
      <w:r>
        <w:rPr>
          <w:b/>
          <w:bCs/>
        </w:rPr>
        <w:t>Conclusion: Challenging the legitimacy of liberal democracy from within</w:t>
      </w:r>
    </w:p>
    <w:p w14:paraId="2DC21C00" w14:textId="77777777" w:rsidR="00FB2BFA" w:rsidRDefault="00FB2BFA">
      <w:pPr>
        <w:ind w:firstLine="720"/>
      </w:pPr>
    </w:p>
    <w:p w14:paraId="0AB8F74E" w14:textId="77777777" w:rsidR="00FB2BFA" w:rsidRDefault="00FB2BFA">
      <w:pPr>
        <w:ind w:firstLine="720"/>
      </w:pPr>
      <w:r>
        <w:t xml:space="preserve">The radical extent to which Bush has linked specific policy decisions to divine guidance seems to be an aberration. It is also possible, however, to regard it as part of a larger development, a legitimacy crisis in America threatening modern liberal democracy, one that has been building for decades. On this view, postmodernism can be seen as one stage of this crisis, and the resurgence of fundamentalisms, what we could call "post-9/11ism," a succeeding stage. </w:t>
      </w:r>
    </w:p>
    <w:p w14:paraId="74F433DD" w14:textId="77777777" w:rsidR="00FB2BFA" w:rsidRDefault="00FB2BFA">
      <w:pPr>
        <w:ind w:firstLine="720"/>
      </w:pPr>
      <w:r>
        <w:t>It is a crisis of foundations, of rights, not only the human rights of the individual but also the right of power, representation, and order, the right of any body to act and speak on behalf of the commonality of the world. Birmingham’s Arendt speaks critically and constructively to this crisis of legitimacy facing the culture of modernity.</w:t>
      </w:r>
      <w:r>
        <w:rPr>
          <w:rStyle w:val="FootnoteReference"/>
        </w:rPr>
        <w:footnoteReference w:id="20"/>
      </w:r>
    </w:p>
    <w:p w14:paraId="57769EE5" w14:textId="77777777" w:rsidR="00FB2BFA" w:rsidRDefault="00FB2BFA">
      <w:pPr>
        <w:ind w:firstLine="720"/>
      </w:pPr>
      <w:r>
        <w:t xml:space="preserve">To understand the special resonance of Arendt’s elevation of action in the present situation it is important to place her critique in the context of the rapid succession, one after the other, of postmodernism and post 9/11ism, both understood as radical critiques of liberalism, both emerging from within the leading liberal societies; first, the multifarious movements gathered under the umbrella term, "postmodernism," and then, since 9/11, the equally radical critique from the opposite side of the political spectrum, a tidal wave of forces that are as divergent from one another as those gathered under the label of postmodernism, but which have for the moment converged in recognizable, common ways. These two contrasting times together define our present political landscape. </w:t>
      </w:r>
    </w:p>
    <w:p w14:paraId="7CBA8989" w14:textId="77777777" w:rsidR="00FB2BFA" w:rsidRDefault="00FB2BFA">
      <w:pPr>
        <w:ind w:firstLine="720"/>
      </w:pPr>
      <w:r>
        <w:t xml:space="preserve">At first glance they appear to have nothing in common. The dominant mood since 9/11 has appeared to be the opposite of all that postmodernism stood for. The "end of postmodernism" was pronounced in, of all places, the cultural pages of </w:t>
      </w:r>
      <w:r>
        <w:rPr>
          <w:i/>
        </w:rPr>
        <w:t xml:space="preserve">The Chicago Tribune, </w:t>
      </w:r>
      <w:r>
        <w:t>a few weeks after 9/11, evidence that this opposition was felt beyond the borders of academia. "What lies in the mess in lower Manhattan and in that black gash in the Pentagon and in a field in southwestern Pennsylvania may be, among so many other things, this: the end of postmodernism and its chokehold on the late 20th Century cultural imagination"</w:t>
      </w:r>
      <w:r>
        <w:rPr>
          <w:rStyle w:val="FootnoteReference"/>
        </w:rPr>
        <w:footnoteReference w:id="21"/>
      </w:r>
      <w:r>
        <w:t xml:space="preserve"> </w:t>
      </w:r>
    </w:p>
    <w:p w14:paraId="1B3B3E83" w14:textId="77777777" w:rsidR="00FB2BFA" w:rsidRDefault="00FB2BFA">
      <w:pPr>
        <w:ind w:firstLine="720"/>
      </w:pPr>
      <w:r>
        <w:t xml:space="preserve">Underlying the profound differences between postmodernism and post 9/11ism, however, is the fact that both challenge the legitimacy of liberalism; both critique its notions of action; and both tie their critique of action to a critique of its notions of reason. </w:t>
      </w:r>
    </w:p>
    <w:p w14:paraId="4AD9F717" w14:textId="77777777" w:rsidR="00FB2BFA" w:rsidRDefault="00FB2BFA">
      <w:pPr>
        <w:ind w:firstLine="720"/>
      </w:pPr>
      <w:r>
        <w:lastRenderedPageBreak/>
        <w:t>Postmodernism’s continuing importance lies in its rich deconstruction of rational</w:t>
      </w:r>
      <w:r w:rsidRPr="00B03C48">
        <w:rPr>
          <w:b/>
          <w:bCs/>
          <w:i/>
          <w:iCs/>
        </w:rPr>
        <w:t>ism</w:t>
      </w:r>
      <w:r>
        <w:t xml:space="preserve">, which has laid the ground for a newly expansive epistemic, developing a rich array of resources - theories, concepts, approaches - for reconnecting thought and action. However, it has tended to regard power negatively, weakening its notions of action and practice, quenching the affirmative springs of creation when its critique is wholly negative. One telling symptom of this tendency is that its celebration of “the social construction of reality” commonly connotes </w:t>
      </w:r>
      <w:r w:rsidRPr="00B03C48">
        <w:rPr>
          <w:b/>
          <w:bCs/>
          <w:i/>
          <w:iCs/>
        </w:rPr>
        <w:t>deconstructive</w:t>
      </w:r>
      <w:r>
        <w:t xml:space="preserve"> practices - negative, oppositional, skeptical, nihilistic even - rather than an affirmation of creative powers.</w:t>
      </w:r>
      <w:r>
        <w:rPr>
          <w:rStyle w:val="FootnoteReference"/>
        </w:rPr>
        <w:footnoteReference w:id="22"/>
      </w:r>
    </w:p>
    <w:p w14:paraId="26E8FC7B" w14:textId="77777777" w:rsidR="00FB2BFA" w:rsidRDefault="00FB2BFA">
      <w:pPr>
        <w:ind w:firstLine="720"/>
      </w:pPr>
      <w:r>
        <w:t xml:space="preserve">What I am calling post 9/11ism embraces power, action, and affirmation. It gathers up the critiques of liberalism on this head into a powerful single current. The post 9/11 zeitgeist rightly exposes </w:t>
      </w:r>
      <w:r w:rsidRPr="00B03C48">
        <w:rPr>
          <w:b/>
          <w:bCs/>
        </w:rPr>
        <w:t>soulless liberal rationalism</w:t>
      </w:r>
      <w:r>
        <w:t xml:space="preserve"> and postmodernist critiques that stop at deconstruction</w:t>
      </w:r>
      <w:r w:rsidR="00B03C48">
        <w:t>.</w:t>
      </w:r>
      <w:r>
        <w:t xml:space="preserve"> </w:t>
      </w:r>
      <w:r w:rsidR="00B03C48">
        <w:t xml:space="preserve">It </w:t>
      </w:r>
      <w:r>
        <w:t xml:space="preserve">rightly calls us to affirm the animating principles of freedom. But the post 9/11 critique, its engagement for “truth” is doomed to fundamentalization when it fails to learn the lesson of postmodernism, the lessons of self-testing against self-delusion. With Bush leading the way it has become more and more stridently ideological, dogmatic, and impervious to self-critique. </w:t>
      </w:r>
    </w:p>
    <w:p w14:paraId="532ACD54" w14:textId="77777777" w:rsidR="00FB2BFA" w:rsidRDefault="00FB2BFA">
      <w:pPr>
        <w:ind w:firstLine="720"/>
      </w:pPr>
      <w:r>
        <w:t xml:space="preserve">Put schematically, postmodernism grabbed hold of the reason horn of the dilemma and pointed the way to a reworking of its relationship to action by pluralizing it, while post 9/11ism grabbed hold of the action horn and demanded that it receive its due. Neither one got the relationship between action and reason right, any more than did liberalism. Having cast the matter in such reductive terms it is necessary to acknowledge that the reality is of course a lot more complex, a lot messier. </w:t>
      </w:r>
    </w:p>
    <w:p w14:paraId="2C13F6C5" w14:textId="77777777" w:rsidR="00FB2BFA" w:rsidRDefault="00FB2BFA">
      <w:pPr>
        <w:ind w:firstLine="720"/>
      </w:pPr>
      <w:r>
        <w:t>Both terms</w:t>
      </w:r>
      <w:r w:rsidR="00B03C48">
        <w:t xml:space="preserve"> – postmodernism and 9/11/ism - </w:t>
      </w:r>
      <w:r>
        <w:t xml:space="preserve">as I am using them, are umbrella labels, indicators that point to two succeeding cultural and political periods, each characterized by sharply contrasting moods and opposing sets of assumptions and patterns of thought, judgment, and discourse. “Postmodernism” is not a single phenomenon any more than “post 9/11ism” is. There is, nevertheless, heuristic value in the caricature I have drawn. </w:t>
      </w:r>
    </w:p>
    <w:p w14:paraId="14EEA296" w14:textId="77777777" w:rsidR="00FB2BFA" w:rsidRDefault="00FB2BFA">
      <w:pPr>
        <w:ind w:firstLine="720"/>
      </w:pPr>
      <w:r>
        <w:t xml:space="preserve">The opposition between the two forms a dramatic backdrop that explains Birmingham’s relentless insistence on the </w:t>
      </w:r>
      <w:r>
        <w:rPr>
          <w:u w:val="single"/>
        </w:rPr>
        <w:t>two</w:t>
      </w:r>
      <w:r>
        <w:t xml:space="preserve"> principles, initium and givenness, and on their interdependence. This obsessive insistence, which forms the backbone of her reworking of Arendt’s thought, challenges the failures of both postmodernist and post 9/11 critiques to overcome the binary divisions within liberalism.</w:t>
      </w:r>
    </w:p>
    <w:p w14:paraId="21DFFEC1" w14:textId="77777777" w:rsidR="00FB2BFA" w:rsidRDefault="00FB2BFA">
      <w:pPr>
        <w:ind w:firstLine="720"/>
      </w:pPr>
      <w:r>
        <w:t xml:space="preserve">Birmingham shares with postmodernism the repudiation of traditional authority, and the repudiation of sovereign, autonomous reason. But she and Arendt differ from purely negative forms of postmodernism precisely by their powerful affirmative voice. It is the decisive importance assigned to this affirmation of givenness that distinguishes Birmingham's critical reworking of Arendt. As a result, her critique, while it shares with radical postmodernism the repudiation of sovereign, autonomous reason, also shares common ground with conservative views by its insistence that reason is never ultimately </w:t>
      </w:r>
      <w:r>
        <w:lastRenderedPageBreak/>
        <w:t>disconnected from some affirmation, interest, concern, or care, or, to use stronger language, some commitment, choice, or positive action for the sake of something affirmed or owned.</w:t>
      </w:r>
    </w:p>
    <w:p w14:paraId="293CF6AD" w14:textId="77777777" w:rsidR="00FB2BFA" w:rsidRDefault="00FB2BFA">
      <w:pPr>
        <w:ind w:firstLine="720"/>
      </w:pPr>
      <w:r>
        <w:t xml:space="preserve">What we find in Birmingham is an affirmation that starts from the modern deconstruction of traditional authority </w:t>
      </w:r>
      <w:r>
        <w:rPr>
          <w:i/>
          <w:iCs/>
        </w:rPr>
        <w:t>and</w:t>
      </w:r>
      <w:r>
        <w:t xml:space="preserve"> the postmodern deconstruction of reason, an affirmation that demands facing an "ordeal," the ordeal of responsibility for the commonality of a world that only emerges out of the "irreducible nonintegration of different standpoints" and a self constituted "only through those irreducible and innumerable perspectives" (127). It is an affirmation of gratitude, animated and oriented by embodied principle, that cannot afford to be smug because the stronger its affirmation of freedom the stronger its commitment to self-testing against self-delusion.</w:t>
      </w:r>
    </w:p>
    <w:p w14:paraId="22D0060B" w14:textId="77777777" w:rsidR="00FB2BFA" w:rsidRDefault="00FB2BFA">
      <w:pPr>
        <w:ind w:firstLine="720"/>
      </w:pPr>
      <w:r>
        <w:t>The consequences of Birmingham’s work can be further clarified by a look at three issues, in addition to reason, which she either discusses or alludes to, and which are at stake in the legitimation crisis of modernity, namely, world, evil, and secularity/religion.</w:t>
      </w:r>
    </w:p>
    <w:p w14:paraId="21849A81" w14:textId="77777777" w:rsidR="00FB2BFA" w:rsidRDefault="00FB2BFA">
      <w:pPr>
        <w:ind w:firstLine="720"/>
      </w:pPr>
      <w:r>
        <w:t xml:space="preserve">The weakness in liberalism’s notions of collective, shared interest in a common world are one factor in its growing crisis of legitimacy, a weakness that has roots in its prized individualism. Its notions of public interest have tended to be characterized negatively in the form of limits placed on the state; or, conversely, by projecting the sovereignty of the individual onto the state. But it also has roots in what Arendt calls its “world alienation.” The final chapter of </w:t>
      </w:r>
      <w:r>
        <w:rPr>
          <w:i/>
          <w:iCs/>
        </w:rPr>
        <w:t>The Human Condition</w:t>
      </w:r>
      <w:r>
        <w:t xml:space="preserve"> is an exposition of the modern age’s “triumphal world alienation.” </w:t>
      </w:r>
      <w:r>
        <w:rPr>
          <w:rStyle w:val="FootnoteReference"/>
        </w:rPr>
        <w:footnoteReference w:id="23"/>
      </w:r>
      <w:r>
        <w:t xml:space="preserve"> This masterpiece of paradox expresses a profound split in outlook toward the world; between a new-awakened love for the earth and world, on the one hand, and a “nightmare” of doubt about reality that has driven man to escape into his own mind from this world (277, 289), an age in which “reality and human reason have parted company” (300).  </w:t>
      </w:r>
    </w:p>
    <w:p w14:paraId="77281DC7" w14:textId="77777777" w:rsidR="00FB2BFA" w:rsidRDefault="00FB2BFA">
      <w:pPr>
        <w:ind w:firstLine="720"/>
      </w:pPr>
      <w:r>
        <w:t xml:space="preserve">For Arendt, affirmation of the commonality of the world is inseparable from affirmation of the embodied self. In her “love” of the world as in her humanism, Arendt represents the culture of modernity. One of its characteristic marks has been its turn to, or redirection of attention and reason to, the world, a turn represented ideologically, for example, by its various forms of empiricism, materialism, pragmatism, and economically by industrial exploitation of the earth’s resources. Yet its great scientific, technological, and industrial successes in exploring and appropriating the material world have also become one of the most acute challenges to its legitimacy. Its embrace of the world is threatening to choke the world to death. </w:t>
      </w:r>
    </w:p>
    <w:p w14:paraId="590B501B" w14:textId="77777777" w:rsidR="00FB2BFA" w:rsidRDefault="00FB2BFA">
      <w:pPr>
        <w:ind w:firstLine="720"/>
      </w:pPr>
      <w:r>
        <w:t xml:space="preserve">Arendt’s turn to the world differs sharply from modernity’s idolatrous, unrestricted, sovereign worldliness. Everything Birmingham has said to differentiate Arendt’s inclusion of the body from biologism applies also to her affirmation of the world. It is not sovereign. It is not idolatrous. It is an affirmation of the commonality of the world that is nonconsensual; that is “deflected,” that is not rooted in an origin that can be recovered. </w:t>
      </w:r>
    </w:p>
    <w:p w14:paraId="220CFC8B" w14:textId="77777777" w:rsidR="00FB2BFA" w:rsidRDefault="00FB2BFA">
      <w:pPr>
        <w:ind w:firstLine="720"/>
        <w:rPr>
          <w:b/>
          <w:bCs/>
        </w:rPr>
      </w:pPr>
      <w:r>
        <w:t xml:space="preserve">The third concept discussed by Birmingham, which bears on modernity’s crisis, is the concept of evil. Confidence in liberal modernity has been weakened by its hapless thinking about evil. Its tendency has been to explain evil in developmental terms as </w:t>
      </w:r>
      <w:r>
        <w:lastRenderedPageBreak/>
        <w:t xml:space="preserve">immaturity or evidence of a “primitive” stage of personal or collective development, as behavior that can be overcome with progress, reason, and education. Birmingham’s treatment of evil, following Arendt, is, by contrast, a powerful alternative not only to liberal, but also to traditional approaches. </w:t>
      </w:r>
    </w:p>
    <w:p w14:paraId="67412714" w14:textId="77777777" w:rsidR="00FB2BFA" w:rsidRDefault="00FB2BFA">
      <w:pPr>
        <w:ind w:firstLine="720"/>
      </w:pPr>
      <w:r>
        <w:t xml:space="preserve">Arendt breaks completely with progressive approaches by locating evil in the event of natality as an act of denial, a possibility or capacity that is ever-present. The border conflict is not between primitive passion, on the one hand, and progressive enlightenment, on the other, but between owning desolation, and thereby transforming it into gratitude, or denying it and giving in to fear, violence, and evil. </w:t>
      </w:r>
    </w:p>
    <w:p w14:paraId="49850827" w14:textId="77777777" w:rsidR="00FB2BFA" w:rsidRDefault="00FB2BFA">
      <w:pPr>
        <w:ind w:firstLine="720"/>
      </w:pPr>
      <w:r>
        <w:t xml:space="preserve">As Birmingham makes clear, in contrast to the general view of Arendt’s work as optimistic, “the problem of radical evil is Arendt’s </w:t>
      </w:r>
      <w:r>
        <w:rPr>
          <w:i/>
          <w:iCs/>
        </w:rPr>
        <w:t>own</w:t>
      </w:r>
      <w:r>
        <w:t xml:space="preserve"> fundamental and enduring preoccupation throughout her writings” (“</w:t>
      </w:r>
      <w:r>
        <w:rPr>
          <w:i/>
          <w:iCs/>
        </w:rPr>
        <w:t>Holes of Oblivion,</w:t>
      </w:r>
      <w:r>
        <w:t xml:space="preserve">” 81). It is anything but hapless. Arendt's celebration of difference ends when it reaches the totalitarian difference that would end difference.  The difference between "the delusion of the omnipotence ... of an individual man" (which eliminates "men in the plural"), and gratitude for givenness is all the difference in the world. The binary opposition between the two responses, gratitude, and denial, is in the starkest possible contrast to the blurring of the relations between body and mind. </w:t>
      </w:r>
    </w:p>
    <w:p w14:paraId="0F968A80" w14:textId="77777777" w:rsidR="00FB2BFA" w:rsidRDefault="00FB2BFA">
      <w:pPr>
        <w:ind w:firstLine="720"/>
      </w:pPr>
      <w:r>
        <w:t>It is an opposition that runs through the whole book. It informs not only the judgment against the radical evil of totalitarianism, but also the categorical repudiation of the principle of collective and individual sovereignty that is the lynchpin of the liberal political tradition.</w:t>
      </w:r>
      <w:r>
        <w:tab/>
      </w:r>
    </w:p>
    <w:p w14:paraId="1D4C0B2C" w14:textId="77777777" w:rsidR="00FB2BFA" w:rsidRDefault="00FB2BFA">
      <w:pPr>
        <w:ind w:firstLine="720"/>
      </w:pPr>
      <w:r>
        <w:t>To express the monstrous character of radical evil, Arendt reaches for religious-mythic language.</w:t>
      </w:r>
      <w:r>
        <w:rPr>
          <w:rStyle w:val="FootnoteReference"/>
        </w:rPr>
        <w:t xml:space="preserve"> </w:t>
      </w:r>
      <w:r>
        <w:rPr>
          <w:rStyle w:val="FootnoteReference"/>
        </w:rPr>
        <w:footnoteReference w:id="24"/>
      </w:r>
      <w:r>
        <w:t xml:space="preserve"> The evil of the death camps “is the fabrication of hell on earth" (106). The term "hell" is not meant only to convey the affective horror of the conditions, but specific intellectual sense, namely, the effort to go beyond the limits of the human, the reach for omnipotence. The crimes, the horror, the scale, the character of radical evil, in other words, are anything but banal.</w:t>
      </w:r>
    </w:p>
    <w:p w14:paraId="09555315" w14:textId="77777777" w:rsidR="00FB2BFA" w:rsidRDefault="00FB2BFA">
      <w:pPr>
        <w:ind w:firstLine="720"/>
      </w:pPr>
      <w:r>
        <w:t>What are we to make then of Arendt’s notion of the banality of evil?</w:t>
      </w:r>
      <w:r>
        <w:rPr>
          <w:rStyle w:val="FootnoteReference"/>
        </w:rPr>
        <w:footnoteReference w:id="25"/>
      </w:r>
      <w:r>
        <w:t xml:space="preserve"> What she was referring to specifically by this phrase was the thought-processes of Eichmann as </w:t>
      </w:r>
      <w:r>
        <w:lastRenderedPageBreak/>
        <w:t xml:space="preserve">demonstrated by his testimony during his trial, not the status of evil itself. What she observed on display in Eichmann was thoughtlessness, the result of his being "carried away," caught up in the chilling "elation" of identification with the will of Hitler (109), mirroring the leader's "madness for the superlative" in his rejection of plurality. This banality of thought characterizes the </w:t>
      </w:r>
      <w:r w:rsidRPr="007010B5">
        <w:rPr>
          <w:b/>
          <w:bCs/>
          <w:i/>
          <w:iCs/>
        </w:rPr>
        <w:t>followers</w:t>
      </w:r>
      <w:r>
        <w:rPr>
          <w:u w:val="single"/>
        </w:rPr>
        <w:t xml:space="preserve"> </w:t>
      </w:r>
      <w:r>
        <w:t>of the one omnipotent leader.</w:t>
      </w:r>
    </w:p>
    <w:p w14:paraId="2960F3AB" w14:textId="77777777" w:rsidR="00FB2BFA" w:rsidRDefault="00FB2BFA">
      <w:pPr>
        <w:ind w:firstLine="720"/>
      </w:pPr>
      <w:r>
        <w:t>But what of the leader? Arendt refers to the "winged words" of Himmler (109), delivering the imperative of obedience and sacrifice. She refers to the "ice-cold reasoning," the logico-ideological deducing," the "strident avoidance of contradictions" that characterized fascist ideology (111). This is not the same thing as the thoughtlessness of an Eichmann, even though it springs from the same act of denial of originary desolation. Its epistemic mark is caught in Arendt's phrase, "the madness for the superlative" (108).</w:t>
      </w:r>
    </w:p>
    <w:p w14:paraId="0770B2F4" w14:textId="77777777" w:rsidR="00FB2BFA" w:rsidRDefault="00FB2BFA">
      <w:pPr>
        <w:ind w:firstLine="720"/>
      </w:pPr>
      <w:r>
        <w:t xml:space="preserve">The issue of evil raises the question of religion, more specifically, whether the public has a stake in religion. A fourth sign of the legitimacy crisis of modernity is the challenge to secularism. Secularism has always been contested, but it has become more difficult to believe that religion will fade away as modernity advances. The persistence of religion is one more thing weakening confidence in foundational assumptions of the culture of modernity. Arendt unequivocally repudiated the authority of religion, and Birmingham refers to the predicament of our common responsibility as our “secular” ordeal. </w:t>
      </w:r>
    </w:p>
    <w:p w14:paraId="098DE73A" w14:textId="77777777" w:rsidR="00FB2BFA" w:rsidRDefault="00FB2BFA">
      <w:pPr>
        <w:ind w:firstLine="720"/>
      </w:pPr>
      <w:r>
        <w:t xml:space="preserve">Yet here again there is a difference between their view and liberalism, more clearly marked in Birmingham than in Arendt. Birmingham’s critique of Arendt’s sharp distinction between public and private spheres affects the modern accommodation according to which religion is removed to the private domain. This implies a reconfiguration of the secular and therefore also of religion in relation to the public sphere. Birmingham uses the term “secular” in connection with responsibility for the world. It connotes the idea of “this-worldly” affirmation and the repudiation of other-worldliness as much as it does the negation of religious authority. In other words, its animus is not directed first and foremost against “religion” as such, but against other-worldliness. </w:t>
      </w:r>
    </w:p>
    <w:p w14:paraId="23EC5278" w14:textId="77777777" w:rsidR="00FB2BFA" w:rsidRDefault="00FB2BFA">
      <w:pPr>
        <w:ind w:firstLine="720"/>
      </w:pPr>
      <w:r>
        <w:t xml:space="preserve">This leaves open the door to a reconfiguration of the concept of “religion” that brings it out from under the long shadow of sovereign, supernatural monotheism with which it has been stamped by two millennia of Christianity. It opens the door to the kind of “faith” to which atheist William Connolly “confesses, namely “immanent materialism,” which “inspires me existentially and ethically” (39). The fact that Arendt takes the principle of givenness from Augustine, and insists that givenness is at the heart of public space colors the notion of the secular, I suggest, in a comparable way. </w:t>
      </w:r>
    </w:p>
    <w:p w14:paraId="3C249A7D" w14:textId="77777777" w:rsidR="00FB2BFA" w:rsidRDefault="00FB2BFA">
      <w:pPr>
        <w:ind w:firstLine="720"/>
      </w:pPr>
      <w:r>
        <w:t xml:space="preserve">On each of these issues -reason, world, religion, and evil – it is clear that Arendt was one of the outspoken critics of the culture of modernity. For Arendt, as for many </w:t>
      </w:r>
      <w:r>
        <w:lastRenderedPageBreak/>
        <w:t xml:space="preserve">others, the racism, the imperialism, and, finally, the totalitarian movements of the twentieth century called the legitimacy of modern liberalism into question, exposing its impotence in the face of radical evil. Birmingham’s claim is that Arendt aimed at nothing less than to refound human rights, to reconstitute the grounds of legitimacy of claims to power and common responsibility. </w:t>
      </w:r>
    </w:p>
    <w:sectPr w:rsidR="00FB2BFA">
      <w:head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dministrator" w:initials="A">
    <w:p w14:paraId="48F4613E" w14:textId="77777777" w:rsidR="00FB2BFA" w:rsidRDefault="00FB2BF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 begin with Arendt’s challenge - nonsovereignty</w:t>
      </w:r>
    </w:p>
  </w:comment>
  <w:comment w:id="1" w:author="Administrator" w:initials="A">
    <w:p w14:paraId="62436362" w14:textId="77777777" w:rsidR="00FB2BFA" w:rsidRDefault="00FB2BF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Birmingham’s challenge – ontological foundations</w:t>
      </w:r>
    </w:p>
  </w:comment>
  <w:comment w:id="2" w:author="Administrator" w:initials="A">
    <w:p w14:paraId="4E489AF7" w14:textId="77777777" w:rsidR="00FB2BFA" w:rsidRDefault="00FB2BF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First the paradox, then the centrifugality, disjunction, then the centripetality</w:t>
      </w:r>
    </w:p>
  </w:comment>
  <w:comment w:id="3" w:author="Administrator" w:initials="A">
    <w:p w14:paraId="526DD2F1" w14:textId="77777777" w:rsidR="00FB2BFA" w:rsidRDefault="00FB2BF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Insistence on centripetality, affirmation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F4613E" w15:done="0"/>
  <w15:commentEx w15:paraId="62436362" w15:done="0"/>
  <w15:commentEx w15:paraId="4E489AF7" w15:done="0"/>
  <w15:commentEx w15:paraId="526DD2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F4613E" w16cid:durableId="0B1205DF"/>
  <w16cid:commentId w16cid:paraId="62436362" w16cid:durableId="0B12061A"/>
  <w16cid:commentId w16cid:paraId="4E489AF7" w16cid:durableId="0B1209D8"/>
  <w16cid:commentId w16cid:paraId="526DD2F1" w16cid:durableId="0B1209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58825" w14:textId="77777777" w:rsidR="007C2F3D" w:rsidRDefault="007C2F3D">
      <w:r>
        <w:separator/>
      </w:r>
    </w:p>
  </w:endnote>
  <w:endnote w:type="continuationSeparator" w:id="0">
    <w:p w14:paraId="1A03B7A9" w14:textId="77777777" w:rsidR="007C2F3D" w:rsidRDefault="007C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633A" w14:textId="77777777" w:rsidR="007C2F3D" w:rsidRDefault="007C2F3D">
      <w:r>
        <w:separator/>
      </w:r>
    </w:p>
  </w:footnote>
  <w:footnote w:type="continuationSeparator" w:id="0">
    <w:p w14:paraId="753365A8" w14:textId="77777777" w:rsidR="007C2F3D" w:rsidRDefault="007C2F3D">
      <w:r>
        <w:continuationSeparator/>
      </w:r>
    </w:p>
  </w:footnote>
  <w:footnote w:id="1">
    <w:p w14:paraId="24B62822" w14:textId="77777777" w:rsidR="00FB2BFA" w:rsidRDefault="00FB2BFA">
      <w:pPr>
        <w:rPr>
          <w:sz w:val="20"/>
        </w:rPr>
      </w:pPr>
      <w:r>
        <w:rPr>
          <w:rStyle w:val="FootnoteReference"/>
          <w:sz w:val="20"/>
        </w:rPr>
        <w:footnoteRef/>
      </w:r>
      <w:r>
        <w:rPr>
          <w:sz w:val="20"/>
        </w:rPr>
        <w:t xml:space="preserve"> In </w:t>
      </w:r>
      <w:r>
        <w:rPr>
          <w:i/>
          <w:sz w:val="20"/>
        </w:rPr>
        <w:t>The Human Condition</w:t>
      </w:r>
      <w:r>
        <w:rPr>
          <w:sz w:val="20"/>
        </w:rPr>
        <w:t xml:space="preserve"> she refers to “our notion that freedom and non-sovereignty are mutually exclusive” (Second Edition, Chicago, The University of Chicago Press, 1958, p. 235). Public freedom is “synonymous with noncentralized nonsovereign power” (Peg Birmingham, </w:t>
      </w:r>
      <w:r>
        <w:rPr>
          <w:i/>
          <w:iCs/>
          <w:sz w:val="20"/>
        </w:rPr>
        <w:t>Hannah Arendt and human rights: the predicament of common responsibility</w:t>
      </w:r>
      <w:r>
        <w:rPr>
          <w:sz w:val="20"/>
        </w:rPr>
        <w:t>, (Bloomington: Indiana University Press, 2006, 56).</w:t>
      </w:r>
    </w:p>
  </w:footnote>
  <w:footnote w:id="2">
    <w:p w14:paraId="7B2E5BD7" w14:textId="77777777" w:rsidR="00FB2BFA" w:rsidRDefault="00FB2BFA">
      <w:pPr>
        <w:pStyle w:val="FootnoteText"/>
      </w:pPr>
      <w:r>
        <w:rPr>
          <w:rStyle w:val="FootnoteReference"/>
        </w:rPr>
        <w:footnoteRef/>
      </w:r>
      <w:r>
        <w:t xml:space="preserve"> See Dana R. Villa, </w:t>
      </w:r>
      <w:r>
        <w:rPr>
          <w:i/>
        </w:rPr>
        <w:t>Arendt and Heidegger: The Fate of the Political</w:t>
      </w:r>
      <w:r>
        <w:t xml:space="preserve">, Princeton: Princeton University Press, 1996, p. 115, for references. </w:t>
      </w:r>
    </w:p>
  </w:footnote>
  <w:footnote w:id="3">
    <w:p w14:paraId="3C864FDA" w14:textId="77777777" w:rsidR="00FB2BFA" w:rsidRDefault="00FB2BFA">
      <w:pPr>
        <w:pStyle w:val="FootnoteText"/>
      </w:pPr>
      <w:r>
        <w:rPr>
          <w:rStyle w:val="FootnoteReference"/>
        </w:rPr>
        <w:footnoteRef/>
      </w:r>
      <w:r>
        <w:t xml:space="preserve"> Peg Birmingham begins </w:t>
      </w:r>
      <w:r>
        <w:rPr>
          <w:i/>
          <w:iCs/>
        </w:rPr>
        <w:t>Hannah Arendt and human rights</w:t>
      </w:r>
      <w:r>
        <w:t xml:space="preserve"> by citing critics who hold that she provides no theoretical justification or grounding for her notion of the right to have rights (pp. 1f.).</w:t>
      </w:r>
    </w:p>
  </w:footnote>
  <w:footnote w:id="4">
    <w:p w14:paraId="07B224B5" w14:textId="77777777" w:rsidR="00FB2BFA" w:rsidRDefault="00FB2BFA">
      <w:pPr>
        <w:pStyle w:val="FootnoteText"/>
      </w:pPr>
      <w:r>
        <w:rPr>
          <w:rStyle w:val="FootnoteReference"/>
        </w:rPr>
        <w:footnoteRef/>
      </w:r>
      <w:r>
        <w:t xml:space="preserve"> Peg Birmingham, </w:t>
      </w:r>
      <w:r>
        <w:rPr>
          <w:i/>
          <w:iCs/>
        </w:rPr>
        <w:t>Hannah Arendt and human rights: the predicament of common responsibility</w:t>
      </w:r>
      <w:r>
        <w:t>. Bloomington : Indiana University Press, 2006</w:t>
      </w:r>
    </w:p>
  </w:footnote>
  <w:footnote w:id="5">
    <w:p w14:paraId="5836E44E" w14:textId="77777777" w:rsidR="00FB2BFA" w:rsidRDefault="00FB2BFA">
      <w:pPr>
        <w:pStyle w:val="FootnoteText"/>
      </w:pPr>
      <w:r>
        <w:rPr>
          <w:rStyle w:val="FootnoteReference"/>
        </w:rPr>
        <w:footnoteRef/>
      </w:r>
      <w:r>
        <w:t xml:space="preserve"> “It has long been a grave question whether any Government not too strong for the liberties of its people can be strong enough to maintain its existence in great emergencies,” Lincoln, in November 1864, after his reelection. Cited in Lord Charnwood, </w:t>
      </w:r>
      <w:r>
        <w:rPr>
          <w:i/>
        </w:rPr>
        <w:t>Abraham Lincoln</w:t>
      </w:r>
      <w:r>
        <w:t>, Garden City, N.Y., Garden City Pub. Co., 1929, p. 425.</w:t>
      </w:r>
    </w:p>
  </w:footnote>
  <w:footnote w:id="6">
    <w:p w14:paraId="4CE17926" w14:textId="77777777" w:rsidR="00FB2BFA" w:rsidRDefault="00FB2BFA">
      <w:pPr>
        <w:pStyle w:val="FootnoteText"/>
      </w:pPr>
      <w:r>
        <w:rPr>
          <w:rStyle w:val="FootnoteReference"/>
        </w:rPr>
        <w:footnoteRef/>
      </w:r>
      <w:r>
        <w:t xml:space="preserve"> I have adopted the term “politicality” to refer to something more than “politics,” which tends to mean party politics. Morton Keller, in a fresh look at American political history, uses the term “polity” to identify his subject as “not only politics but law and government” (</w:t>
      </w:r>
      <w:r>
        <w:rPr>
          <w:i/>
          <w:iCs/>
        </w:rPr>
        <w:t>America’s Three Regimes: A New Political History</w:t>
      </w:r>
      <w:r>
        <w:t>, Oxford University Press, 2007, p. 2). But the word “polity” tends to connote institutions already in place, rather than in formation or undergoing change or reformation, which is what I want to point to by the term “politicality.”</w:t>
      </w:r>
    </w:p>
  </w:footnote>
  <w:footnote w:id="7">
    <w:p w14:paraId="00F18777" w14:textId="77777777" w:rsidR="00FB2BFA" w:rsidRDefault="00FB2BFA">
      <w:pPr>
        <w:ind w:firstLine="720"/>
      </w:pPr>
      <w:r>
        <w:rPr>
          <w:rStyle w:val="FootnoteReference"/>
        </w:rPr>
        <w:footnoteRef/>
      </w:r>
      <w:r>
        <w:t xml:space="preserve"> This recognition in the public sphere of embodied, individuals in their “qualified” sexuality, passions, and culture seems to run absolutely counter to Arendt’s insistence, spelled out by Birmingham in the previous section of chapter three, that it was only as unqualified that the givenness of existence could be a matter of public concern, unqualified, bare, naked, stark, unadorned, contingent. "The given and, most especially, embodied differences of all kinds must </w:t>
      </w:r>
      <w:r>
        <w:rPr>
          <w:u w:val="single"/>
        </w:rPr>
        <w:t>not</w:t>
      </w:r>
      <w:r>
        <w:t xml:space="preserve"> be taken up in politically qualified ways" (88). There is "no constituting potentiality behind the appearance. Arendt ruled out any notion of actualization of a "potential" given in the originary event. "The emergence of </w:t>
      </w:r>
      <w:r>
        <w:rPr>
          <w:i/>
          <w:iCs/>
        </w:rPr>
        <w:t>physis</w:t>
      </w:r>
      <w:r>
        <w:t xml:space="preserve"> is not a relation of potentiality and actuality" (84). Absolute language is used to rule out any notion of continuity. "The originary event proceeds from nothingness; it is an </w:t>
      </w:r>
      <w:r>
        <w:rPr>
          <w:u w:val="single"/>
        </w:rPr>
        <w:t>absolute</w:t>
      </w:r>
      <w:r>
        <w:t xml:space="preserve"> beginning" (85). "There is no ontological relation between the potentializing power of being and its actual appearance" (84).</w:t>
      </w:r>
    </w:p>
  </w:footnote>
  <w:footnote w:id="8">
    <w:p w14:paraId="4CE69FD8" w14:textId="77777777" w:rsidR="00FB2BFA" w:rsidRDefault="00FB2BFA">
      <w:pPr>
        <w:ind w:firstLine="720"/>
      </w:pPr>
      <w:r>
        <w:rPr>
          <w:rStyle w:val="FootnoteReference"/>
        </w:rPr>
        <w:footnoteRef/>
      </w:r>
      <w:r>
        <w:t xml:space="preserve"> The contrast with forms of introspection, which find their solitary object within the soul, which Arendt describes in the case or Rahel Varnhagan, is particularly stark (86).</w:t>
      </w:r>
    </w:p>
    <w:p w14:paraId="468F037A" w14:textId="77777777" w:rsidR="00FB2BFA" w:rsidRDefault="00FB2BFA">
      <w:pPr>
        <w:pStyle w:val="FootnoteText"/>
      </w:pPr>
    </w:p>
  </w:footnote>
  <w:footnote w:id="9">
    <w:p w14:paraId="778534BC" w14:textId="77777777" w:rsidR="00FB2BFA" w:rsidRDefault="00FB2BFA">
      <w:pPr>
        <w:pStyle w:val="FootnoteText"/>
      </w:pPr>
      <w:r>
        <w:rPr>
          <w:rStyle w:val="FootnoteReference"/>
        </w:rPr>
        <w:footnoteRef/>
      </w:r>
      <w:r>
        <w:t xml:space="preserve"> Linda M. G. Zerilli, “The Arendtian Body,” </w:t>
      </w:r>
      <w:r>
        <w:rPr>
          <w:i/>
          <w:iCs/>
        </w:rPr>
        <w:t>Feminist Perspectives on Hannah Arendt</w:t>
      </w:r>
      <w:r>
        <w:t>, ed. Bonnie Honig (University Park: Pennsylvania State University Press, 1995), 179.</w:t>
      </w:r>
    </w:p>
  </w:footnote>
  <w:footnote w:id="10">
    <w:p w14:paraId="4C451332" w14:textId="77777777" w:rsidR="00FB2BFA" w:rsidRDefault="00FB2BFA">
      <w:pPr>
        <w:pStyle w:val="FootnoteText"/>
      </w:pPr>
      <w:r>
        <w:rPr>
          <w:rStyle w:val="FootnoteReference"/>
        </w:rPr>
        <w:footnoteRef/>
      </w:r>
      <w:r>
        <w:t xml:space="preserve"> Act 5, Scene 5, 6-8.</w:t>
      </w:r>
    </w:p>
  </w:footnote>
  <w:footnote w:id="11">
    <w:p w14:paraId="10FE4B98" w14:textId="77777777" w:rsidR="00FB2BFA" w:rsidRDefault="00FB2BFA">
      <w:pPr>
        <w:pStyle w:val="FootnoteText"/>
      </w:pPr>
      <w:r>
        <w:rPr>
          <w:rStyle w:val="FootnoteReference"/>
        </w:rPr>
        <w:footnoteRef/>
      </w:r>
      <w:r>
        <w:t xml:space="preserve"> In </w:t>
      </w:r>
      <w:r>
        <w:rPr>
          <w:i/>
        </w:rPr>
        <w:t>Aboriginal Populations in the Mind: race and primitivity in psychoanalysis</w:t>
      </w:r>
      <w:r>
        <w:t xml:space="preserve"> (New York: Columbia University Press, 2003), Celia Brickman challenges notions of the “primitive” in both psychoanalysis and anthropology, citing views that “the capacity for differentiation is seen to coexist with undifferentiation from the very beginning (121);’ that “recognition plays as salient a role as does separation,” and that infants from birth on are capable of distinguishing themselves from their environment and combine “an interest in externality” with “an absorption in internal rhythms” (120). Separateness and connectedness arise together and make each other possible (121). One consequence is that “the earliest relationship … is characterized by both recognition </w:t>
      </w:r>
      <w:r>
        <w:rPr>
          <w:i/>
        </w:rPr>
        <w:t>and</w:t>
      </w:r>
      <w:r>
        <w:t xml:space="preserve"> destruction and repudiation” (122). In other words, an originary ambiguity is posited, as with Kristeva, even though Brickman has targeted Kristeva’s notion of abjection as belonging to the theories of the “primitive” she is challenging. </w:t>
      </w:r>
    </w:p>
  </w:footnote>
  <w:footnote w:id="12">
    <w:p w14:paraId="06A6C550" w14:textId="77777777" w:rsidR="00FB2BFA" w:rsidRDefault="00FB2BFA">
      <w:pPr>
        <w:pStyle w:val="FootnoteText"/>
      </w:pPr>
      <w:r>
        <w:rPr>
          <w:rStyle w:val="FootnoteReference"/>
        </w:rPr>
        <w:footnoteRef/>
      </w:r>
      <w:r>
        <w:t xml:space="preserve"> </w:t>
      </w:r>
      <w:r>
        <w:rPr>
          <w:i/>
        </w:rPr>
        <w:t>Feminism and the Abyss of Freedom</w:t>
      </w:r>
      <w:r>
        <w:t xml:space="preserve">, Chicago: The University of Chicago Press, 2005. </w:t>
      </w:r>
    </w:p>
  </w:footnote>
  <w:footnote w:id="13">
    <w:p w14:paraId="46EC3F4A" w14:textId="77777777" w:rsidR="00FB2BFA" w:rsidRDefault="00FB2BFA">
      <w:pPr>
        <w:pStyle w:val="FootnoteText"/>
      </w:pPr>
      <w:r>
        <w:rPr>
          <w:rStyle w:val="FootnoteReference"/>
        </w:rPr>
        <w:footnoteRef/>
      </w:r>
      <w:r>
        <w:t xml:space="preserve"> Zerilli’s discussion of a political claim here draws directly upon Stanley Cavell’s notions of the authority to speak for another.</w:t>
      </w:r>
    </w:p>
  </w:footnote>
  <w:footnote w:id="14">
    <w:p w14:paraId="7044E0AF" w14:textId="77777777" w:rsidR="00FB2BFA" w:rsidRDefault="00FB2BFA">
      <w:pPr>
        <w:pStyle w:val="FootnoteText"/>
      </w:pPr>
      <w:r>
        <w:rPr>
          <w:rStyle w:val="FootnoteReference"/>
        </w:rPr>
        <w:footnoteRef/>
      </w:r>
      <w:r>
        <w:t xml:space="preserve"> Ron Suskind, “Without a Doubt,” </w:t>
      </w:r>
      <w:r>
        <w:rPr>
          <w:i/>
          <w:iCs/>
        </w:rPr>
        <w:t>The New York Times Magazine</w:t>
      </w:r>
      <w:r>
        <w:t>, October 17, 2004, p. 51.</w:t>
      </w:r>
    </w:p>
  </w:footnote>
  <w:footnote w:id="15">
    <w:p w14:paraId="1D6C7B82" w14:textId="77777777" w:rsidR="00FB2BFA" w:rsidRDefault="00FB2BFA">
      <w:pPr>
        <w:pStyle w:val="FootnoteText"/>
      </w:pPr>
      <w:r>
        <w:rPr>
          <w:rStyle w:val="FootnoteReference"/>
        </w:rPr>
        <w:footnoteRef/>
      </w:r>
      <w:r>
        <w:t xml:space="preserve"> p. 331.</w:t>
      </w:r>
    </w:p>
  </w:footnote>
  <w:footnote w:id="16">
    <w:p w14:paraId="65CAED49" w14:textId="77777777" w:rsidR="00FB2BFA" w:rsidRDefault="00FB2BFA">
      <w:pPr>
        <w:pStyle w:val="FootnoteText"/>
      </w:pPr>
      <w:r>
        <w:rPr>
          <w:rStyle w:val="FootnoteReference"/>
        </w:rPr>
        <w:footnoteRef/>
      </w:r>
      <w:r>
        <w:t xml:space="preserve"> See above, note 1.</w:t>
      </w:r>
    </w:p>
  </w:footnote>
  <w:footnote w:id="17">
    <w:p w14:paraId="34FDF92A" w14:textId="77777777" w:rsidR="00FB2BFA" w:rsidRDefault="00FB2BFA">
      <w:pPr>
        <w:pStyle w:val="FootnoteText"/>
      </w:pPr>
      <w:r>
        <w:rPr>
          <w:rStyle w:val="FootnoteReference"/>
        </w:rPr>
        <w:footnoteRef/>
      </w:r>
      <w:r>
        <w:t xml:space="preserve"> ("</w:t>
      </w:r>
      <w:r>
        <w:rPr>
          <w:i/>
        </w:rPr>
        <w:t>Read it and Weep</w:t>
      </w:r>
      <w:r>
        <w:t xml:space="preserve">," </w:t>
      </w:r>
      <w:r>
        <w:rPr>
          <w:i/>
        </w:rPr>
        <w:t>Talk of the Town</w:t>
      </w:r>
      <w:r>
        <w:t xml:space="preserve">, </w:t>
      </w:r>
      <w:r>
        <w:rPr>
          <w:i/>
        </w:rPr>
        <w:t>The New Yorker</w:t>
      </w:r>
      <w:r>
        <w:t>, August 28, 2006).</w:t>
      </w:r>
    </w:p>
  </w:footnote>
  <w:footnote w:id="18">
    <w:p w14:paraId="0E4C8C77" w14:textId="77777777" w:rsidR="00FB2BFA" w:rsidRDefault="00FB2BFA">
      <w:pPr>
        <w:pStyle w:val="FootnoteText"/>
      </w:pPr>
      <w:r>
        <w:rPr>
          <w:rStyle w:val="FootnoteReference"/>
        </w:rPr>
        <w:footnoteRef/>
      </w:r>
      <w:r>
        <w:t xml:space="preserve"> William Pfaff, "</w:t>
      </w:r>
      <w:r>
        <w:rPr>
          <w:i/>
        </w:rPr>
        <w:t>What We've Lost: George W. Bush and the price of torture,”</w:t>
      </w:r>
      <w:r>
        <w:t xml:space="preserve"> </w:t>
      </w:r>
      <w:r>
        <w:rPr>
          <w:i/>
        </w:rPr>
        <w:t>Harper's Magazine,</w:t>
      </w:r>
      <w:r>
        <w:t xml:space="preserve"> November 2005, p. 56. </w:t>
      </w:r>
    </w:p>
  </w:footnote>
  <w:footnote w:id="19">
    <w:p w14:paraId="29B55A4B" w14:textId="77777777" w:rsidR="00FB2BFA" w:rsidRDefault="00FB2BFA">
      <w:pPr>
        <w:pStyle w:val="FootnoteText"/>
      </w:pPr>
      <w:r>
        <w:rPr>
          <w:rStyle w:val="FootnoteReference"/>
        </w:rPr>
        <w:footnoteRef/>
      </w:r>
      <w:r>
        <w:t xml:space="preserve"> On the Bush administration’s support for this theory of a strong executive see Jack Goldsmith, </w:t>
      </w:r>
      <w:r>
        <w:rPr>
          <w:i/>
        </w:rPr>
        <w:t xml:space="preserve">The Terror Presidency: Law and Judgment Inside the Bush Administration, </w:t>
      </w:r>
      <w:r>
        <w:t>New York: W. W. Norton &amp; Company, 2007, p. 85.</w:t>
      </w:r>
    </w:p>
  </w:footnote>
  <w:footnote w:id="20">
    <w:p w14:paraId="2D55B767" w14:textId="77777777" w:rsidR="00FB2BFA" w:rsidRDefault="00FB2BFA">
      <w:pPr>
        <w:pStyle w:val="FootnoteText"/>
      </w:pPr>
      <w:r>
        <w:rPr>
          <w:rStyle w:val="FootnoteReference"/>
        </w:rPr>
        <w:footnoteRef/>
      </w:r>
      <w:r>
        <w:t xml:space="preserve"> I use the phrase “the culture of modernity” in an anthropological sense. I have in mind Bruno Latour’s stance in </w:t>
      </w:r>
      <w:r>
        <w:rPr>
          <w:i/>
        </w:rPr>
        <w:t>Laboratory Life: The Construction of Scientific Facts</w:t>
      </w:r>
      <w:r>
        <w:t xml:space="preserve">, Bruno Latour and Steve Woolgar, Princeton, Princeton University Press, Second Edition, 1986, later extended from the scientific laboratory to “the whole shebang” of modernity in </w:t>
      </w:r>
      <w:r>
        <w:rPr>
          <w:i/>
        </w:rPr>
        <w:t>We Have Never Been Modern</w:t>
      </w:r>
      <w:r>
        <w:t>, Cambridge, Mass: Harvard University Press, 1993. See p. 101 for the phrase “the whole shebang.”</w:t>
      </w:r>
    </w:p>
  </w:footnote>
  <w:footnote w:id="21">
    <w:p w14:paraId="4C69C12F" w14:textId="77777777" w:rsidR="00FB2BFA" w:rsidRDefault="00FB2BFA">
      <w:pPr>
        <w:pStyle w:val="FootnoteText"/>
      </w:pPr>
      <w:r>
        <w:rPr>
          <w:rStyle w:val="FootnoteReference"/>
        </w:rPr>
        <w:footnoteRef/>
      </w:r>
      <w:r>
        <w:t xml:space="preserve"> Julia Keller, "</w:t>
      </w:r>
      <w:r>
        <w:rPr>
          <w:i/>
        </w:rPr>
        <w:t>After the attack, postmodernism loses its glib grip," The Chicago Tribune</w:t>
      </w:r>
      <w:r>
        <w:t xml:space="preserve">, September 27, 2001. </w:t>
      </w:r>
    </w:p>
  </w:footnote>
  <w:footnote w:id="22">
    <w:p w14:paraId="10250EF4" w14:textId="77777777" w:rsidR="00FB2BFA" w:rsidRDefault="00FB2BFA">
      <w:pPr>
        <w:pStyle w:val="FootnoteText"/>
      </w:pPr>
      <w:r>
        <w:rPr>
          <w:rStyle w:val="FootnoteReference"/>
        </w:rPr>
        <w:footnoteRef/>
      </w:r>
      <w:r>
        <w:t xml:space="preserve"> In the introduction to a collection of essays presented at a conference on postmodernism held in 2004 the term “postmodernism” was characterized in terms of themes, five were negative, anti-foundationalism, anti-humanism, anti-essentialism, anti-representationalism, and anti-historicism. A sixth, “a predilection for irony” could be considered critical, or negative. Only two of the eight were constructive, namely, “an ethic of self-fashioning,” and “anti-positivist utopianism,” which couches its affirmation in terms of a negative (</w:t>
      </w:r>
      <w:r>
        <w:rPr>
          <w:i/>
          <w:iCs/>
        </w:rPr>
        <w:t>Histories of Postmodernism,</w:t>
      </w:r>
      <w:r>
        <w:t xml:space="preserve"> edited by Mark Bevir, Jill Hargis, and Sara Rushing. New York: Routledge, 2007, p. 7). </w:t>
      </w:r>
    </w:p>
  </w:footnote>
  <w:footnote w:id="23">
    <w:p w14:paraId="78BB692C" w14:textId="77777777" w:rsidR="00FB2BFA" w:rsidRDefault="00FB2BFA">
      <w:pPr>
        <w:pStyle w:val="FootnoteText"/>
      </w:pPr>
      <w:r>
        <w:rPr>
          <w:rStyle w:val="FootnoteReference"/>
        </w:rPr>
        <w:footnoteRef/>
      </w:r>
      <w:r>
        <w:t xml:space="preserve"> Hannah Arendt, </w:t>
      </w:r>
      <w:r>
        <w:rPr>
          <w:i/>
          <w:iCs/>
        </w:rPr>
        <w:t>The Human Condition</w:t>
      </w:r>
      <w:r>
        <w:t>, Second Edition, Chicago: The University of Chicago Press, 1958, p. 264.</w:t>
      </w:r>
    </w:p>
  </w:footnote>
  <w:footnote w:id="24">
    <w:p w14:paraId="48BEC893" w14:textId="77777777" w:rsidR="00FB2BFA" w:rsidRDefault="00FB2BFA">
      <w:pPr>
        <w:pStyle w:val="FootnoteText"/>
      </w:pPr>
      <w:r>
        <w:rPr>
          <w:rStyle w:val="FootnoteReference"/>
        </w:rPr>
        <w:footnoteRef/>
      </w:r>
      <w:r>
        <w:t xml:space="preserve"> Arendt used mythic-religious language despite the objections of Jaspers, who expressed his "horror" at "any hint of myth and legend . . . everything unspecific" in characterizing Nazi crimes (Letter from Jaspers to Arendt, 19 October 1946, Arendt &amp; Jaspers, </w:t>
      </w:r>
      <w:r>
        <w:rPr>
          <w:i/>
        </w:rPr>
        <w:t>Correspondence</w:t>
      </w:r>
      <w:r>
        <w:t>, 60-63, cited in</w:t>
      </w:r>
      <w:r>
        <w:rPr>
          <w:i/>
        </w:rPr>
        <w:t xml:space="preserve"> </w:t>
      </w:r>
      <w:r>
        <w:t xml:space="preserve">Steven E. Aschheim, </w:t>
      </w:r>
      <w:r>
        <w:rPr>
          <w:i/>
        </w:rPr>
        <w:t>In Times of Crisis: Essays on European Culture, Germans, and Jews,</w:t>
      </w:r>
      <w:r>
        <w:t xml:space="preserve">" The University of Wisconsin Press, p. 131). The paragraph from which this comes begins: "It seems to me that we have to see things in their total banality, in their prosaic triviality, because that's what truly characterizes them [that is, Nazi crimes]." On the one hand, Arendt fully understood the imperative to historicize totalitarian evil. That is just what she undertook in </w:t>
      </w:r>
      <w:r>
        <w:rPr>
          <w:i/>
        </w:rPr>
        <w:t>Origins</w:t>
      </w:r>
      <w:r>
        <w:t>. On the other hand, she clearly held it to be equally imperative to recognize that it was, historically, something radically new. It is also clear that for her mythic-religious language was not intrinsically "unspecific" and unusable. She used the terms "hell," "purgatory," and "" with precise, concrete reference.</w:t>
      </w:r>
    </w:p>
  </w:footnote>
  <w:footnote w:id="25">
    <w:p w14:paraId="5A219887" w14:textId="77777777" w:rsidR="00FB2BFA" w:rsidRDefault="00FB2BFA">
      <w:pPr>
        <w:rPr>
          <w:sz w:val="20"/>
        </w:rPr>
      </w:pPr>
      <w:r>
        <w:rPr>
          <w:rStyle w:val="FootnoteReference"/>
          <w:sz w:val="20"/>
        </w:rPr>
        <w:footnoteRef/>
      </w:r>
      <w:r>
        <w:rPr>
          <w:sz w:val="20"/>
        </w:rPr>
        <w:t xml:space="preserve"> The phrase “the banality of evil” has itself become banal, a cliché that substitutes for thought. It was anything but when Arendt introduced it. Then it was shocking, disturbing, and provoking thought. Her use of it was clearly in line with her purpose of trying to comprehend the radical evil of totalitarianism, and to subject it to thought. The term "banalities" is conjoined with "truisms" and "clichés" in the sense of thoughtless, empty speech (49). In this sense it represents the opposite of thoughtful, inaugurative speech `that constitutes public space (27). The term is also used to characterize the refusal to acknowledge the banal, that is, commonplace, obvious reality of human finitude (112). That refusal is epistemic, a denial of reality, but it is much more than an intellectual, or rational, or merely cerebral act. It involves the person. It is a choice, a choice against gratitude. Its outcome is banalities, clichés, truisms, illusion, lies, fantasies, and dreams. How is this refusal "banal"? Its outcome is banality. And what it refuses is a banality, that is, the commonplace realities of death (One of the most powerful statements of this is the essay, “The Wreck of Time,” by Annie Dillard, first published in </w:t>
      </w:r>
      <w:r>
        <w:rPr>
          <w:i/>
          <w:sz w:val="20"/>
        </w:rPr>
        <w:t>Harper’s Magazine</w:t>
      </w:r>
      <w:r>
        <w:rPr>
          <w:sz w:val="20"/>
        </w:rPr>
        <w:t xml:space="preserve">, January 1998). The word banality shares its root with the word "abandonment," as Birmingham notes (112). The refusal derives its banality from what it refuses, and from the thoughtlessness that is its outcome. </w:t>
      </w:r>
    </w:p>
    <w:p w14:paraId="55E546D0" w14:textId="77777777" w:rsidR="00FB2BFA" w:rsidRDefault="00FB2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A8FE" w14:textId="77777777" w:rsidR="00FB2BFA" w:rsidRDefault="00FB2BFA">
    <w:pPr>
      <w:pStyle w:val="Header"/>
    </w:pPr>
    <w:r>
      <w:fldChar w:fldCharType="begin"/>
    </w:r>
    <w:r>
      <w:instrText xml:space="preserve"> DATE \@ "M/d/yyyy" </w:instrText>
    </w:r>
    <w:r>
      <w:fldChar w:fldCharType="separate"/>
    </w:r>
    <w:r w:rsidR="00D5089F">
      <w:rPr>
        <w:noProof/>
      </w:rPr>
      <w:t>3/16/2026</w:t>
    </w:r>
    <w:r>
      <w:fldChar w:fldCharType="end"/>
    </w:r>
    <w:r>
      <w:t xml:space="preserve"> </w:t>
    </w:r>
    <w:r>
      <w:fldChar w:fldCharType="begin"/>
    </w:r>
    <w:r>
      <w:instrText xml:space="preserve"> TIME \@ "h:mm AM/PM" </w:instrText>
    </w:r>
    <w:r>
      <w:fldChar w:fldCharType="separate"/>
    </w:r>
    <w:r w:rsidR="00D5089F">
      <w:rPr>
        <w:noProof/>
      </w:rPr>
      <w:t>5:37 PM</w:t>
    </w:r>
    <w:r>
      <w:fldChar w:fldCharType="end"/>
    </w:r>
    <w:r>
      <w:tab/>
    </w:r>
    <w:r>
      <w:tab/>
    </w:r>
    <w:r>
      <w:rPr>
        <w:rStyle w:val="PageNumber"/>
      </w:rPr>
      <w:fldChar w:fldCharType="begin"/>
    </w:r>
    <w:r>
      <w:rPr>
        <w:rStyle w:val="PageNumber"/>
      </w:rPr>
      <w:instrText xml:space="preserve"> PAGE </w:instrText>
    </w:r>
    <w:r>
      <w:rPr>
        <w:rStyle w:val="PageNumber"/>
      </w:rPr>
      <w:fldChar w:fldCharType="separate"/>
    </w:r>
    <w:r w:rsidR="00EE782F">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45A06"/>
    <w:multiLevelType w:val="hybridMultilevel"/>
    <w:tmpl w:val="BC4AF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1987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04"/>
    <w:rsid w:val="000B64A6"/>
    <w:rsid w:val="001954A2"/>
    <w:rsid w:val="001F3720"/>
    <w:rsid w:val="002B1AA1"/>
    <w:rsid w:val="002D2BA1"/>
    <w:rsid w:val="0035472E"/>
    <w:rsid w:val="003B7133"/>
    <w:rsid w:val="005B6555"/>
    <w:rsid w:val="007010B5"/>
    <w:rsid w:val="007A511E"/>
    <w:rsid w:val="007C2F3D"/>
    <w:rsid w:val="008A5F54"/>
    <w:rsid w:val="00B0371B"/>
    <w:rsid w:val="00B03C48"/>
    <w:rsid w:val="00C70A7F"/>
    <w:rsid w:val="00D5089F"/>
    <w:rsid w:val="00DE7204"/>
    <w:rsid w:val="00EE782F"/>
    <w:rsid w:val="00FA095C"/>
    <w:rsid w:val="00FB2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2DC65"/>
  <w15:chartTrackingRefBased/>
  <w15:docId w15:val="{09097A58-C93F-1947-B998-233E5C1B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8747</Words>
  <Characters>51259</Characters>
  <Application>Microsoft Office Word</Application>
  <DocSecurity>0</DocSecurity>
  <Lines>674</Lines>
  <Paragraphs>112</Paragraphs>
  <ScaleCrop>false</ScaleCrop>
  <HeadingPairs>
    <vt:vector size="2" baseType="variant">
      <vt:variant>
        <vt:lpstr>Title</vt:lpstr>
      </vt:variant>
      <vt:variant>
        <vt:i4>1</vt:i4>
      </vt:variant>
    </vt:vector>
  </HeadingPairs>
  <TitlesOfParts>
    <vt:vector size="1" baseType="lpstr">
      <vt:lpstr>Arendt, Birmingham, and </vt:lpstr>
    </vt:vector>
  </TitlesOfParts>
  <Company>University of Chicago Library</Company>
  <LinksUpToDate>false</LinksUpToDate>
  <CharactersWithSpaces>59894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Arendt, Birmingham, and </dc:title>
  <dc:subject/>
  <dc:creator>joe</dc:creator>
  <cp:keywords/>
  <dc:description/>
  <cp:lastModifiedBy>Valerie Wallace</cp:lastModifiedBy>
  <cp:revision>2</cp:revision>
  <cp:lastPrinted>2007-12-16T18:33:00Z</cp:lastPrinted>
  <dcterms:created xsi:type="dcterms:W3CDTF">2026-03-16T22:38:00Z</dcterms:created>
  <dcterms:modified xsi:type="dcterms:W3CDTF">2026-03-16T22:38:00Z</dcterms:modified>
</cp:coreProperties>
</file>