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49D55" w14:textId="77777777" w:rsidR="00090C41" w:rsidRPr="00E41015" w:rsidRDefault="00090C41"/>
    <w:p w14:paraId="1594BCF1" w14:textId="77777777" w:rsidR="00090C41" w:rsidRPr="0034109D" w:rsidRDefault="00090C41">
      <w:pPr>
        <w:jc w:val="center"/>
        <w:rPr>
          <w:rStyle w:val="HTMLTypewriter"/>
          <w:rFonts w:ascii="Times New Roman" w:hAnsi="Times New Roman"/>
          <w:b/>
          <w:i/>
          <w:iCs/>
          <w:color w:val="000000"/>
          <w:sz w:val="24"/>
          <w:szCs w:val="24"/>
        </w:rPr>
      </w:pPr>
      <w:r w:rsidRPr="0034109D">
        <w:rPr>
          <w:rStyle w:val="HTMLTypewriter"/>
          <w:rFonts w:ascii="Times New Roman" w:hAnsi="Times New Roman"/>
          <w:b/>
          <w:color w:val="000000"/>
          <w:sz w:val="24"/>
          <w:szCs w:val="24"/>
        </w:rPr>
        <w:t xml:space="preserve">A Guide to Reading Hannah Arendt’s </w:t>
      </w:r>
      <w:r w:rsidRPr="0034109D">
        <w:rPr>
          <w:rStyle w:val="HTMLTypewriter"/>
          <w:rFonts w:ascii="Times New Roman" w:hAnsi="Times New Roman"/>
          <w:b/>
          <w:i/>
          <w:iCs/>
          <w:color w:val="000000"/>
          <w:sz w:val="24"/>
          <w:szCs w:val="24"/>
        </w:rPr>
        <w:t>The Human Condition</w:t>
      </w:r>
    </w:p>
    <w:p w14:paraId="06213515" w14:textId="77777777" w:rsidR="00E41015" w:rsidRPr="0034109D" w:rsidRDefault="00E41015">
      <w:pPr>
        <w:jc w:val="center"/>
        <w:rPr>
          <w:rStyle w:val="HTMLTypewriter"/>
          <w:rFonts w:ascii="Times New Roman" w:hAnsi="Times New Roman"/>
          <w:color w:val="000000"/>
        </w:rPr>
      </w:pPr>
      <w:r w:rsidRPr="0034109D">
        <w:rPr>
          <w:rStyle w:val="HTMLTypewriter"/>
          <w:rFonts w:ascii="Times New Roman" w:hAnsi="Times New Roman"/>
          <w:iCs/>
          <w:color w:val="000000"/>
        </w:rPr>
        <w:t>Bruce Woll</w:t>
      </w:r>
    </w:p>
    <w:p w14:paraId="42FE1DB4" w14:textId="77777777" w:rsidR="00090C41" w:rsidRPr="00E41015" w:rsidRDefault="00090C41">
      <w:pPr>
        <w:rPr>
          <w:rStyle w:val="HTMLTypewriter"/>
          <w:rFonts w:ascii="Times New Roman" w:hAnsi="Times New Roman"/>
          <w:color w:val="000000"/>
          <w:sz w:val="24"/>
          <w:szCs w:val="24"/>
        </w:rPr>
      </w:pPr>
    </w:p>
    <w:p w14:paraId="29C64946"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Freedom, “the principle of freedom which was created when man was created” </w:t>
      </w:r>
      <w:r w:rsidR="007229D1"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177) is the heart-beat of </w:t>
      </w:r>
      <w:r w:rsidRPr="00E41015">
        <w:rPr>
          <w:rStyle w:val="HTMLTypewriter"/>
          <w:rFonts w:ascii="Times New Roman" w:hAnsi="Times New Roman"/>
          <w:i/>
          <w:iCs/>
          <w:color w:val="000000"/>
          <w:sz w:val="24"/>
          <w:szCs w:val="24"/>
        </w:rPr>
        <w:t>The Human Condition</w:t>
      </w:r>
      <w:r w:rsidRPr="00E41015">
        <w:rPr>
          <w:rStyle w:val="HTMLTypewriter"/>
          <w:rFonts w:ascii="Times New Roman" w:hAnsi="Times New Roman"/>
          <w:color w:val="000000"/>
          <w:sz w:val="24"/>
          <w:szCs w:val="24"/>
        </w:rPr>
        <w:t>, published in</w:t>
      </w:r>
      <w:r w:rsidR="00E168C6">
        <w:rPr>
          <w:rStyle w:val="HTMLTypewriter"/>
          <w:rFonts w:ascii="Times New Roman" w:hAnsi="Times New Roman"/>
          <w:color w:val="000000"/>
          <w:sz w:val="24"/>
          <w:szCs w:val="24"/>
        </w:rPr>
        <w:t xml:space="preserve"> </w:t>
      </w:r>
      <w:r w:rsidRPr="00E41015">
        <w:rPr>
          <w:rStyle w:val="HTMLTypewriter"/>
          <w:rFonts w:ascii="Times New Roman" w:hAnsi="Times New Roman"/>
          <w:color w:val="000000"/>
          <w:sz w:val="24"/>
          <w:szCs w:val="24"/>
        </w:rPr>
        <w:t>1958.</w:t>
      </w:r>
      <w:r w:rsidR="00E168C6">
        <w:rPr>
          <w:rStyle w:val="FootnoteReference"/>
          <w:color w:val="000000"/>
        </w:rPr>
        <w:footnoteReference w:id="1"/>
      </w:r>
      <w:r w:rsidRPr="00E41015">
        <w:rPr>
          <w:rStyle w:val="HTMLTypewriter"/>
          <w:rFonts w:ascii="Times New Roman" w:hAnsi="Times New Roman"/>
          <w:color w:val="000000"/>
          <w:sz w:val="24"/>
          <w:szCs w:val="24"/>
        </w:rPr>
        <w:t xml:space="preserve"> According to Arendt, the principle of freedom is realized in action. Action, the supreme category of the book</w:t>
      </w:r>
      <w:r w:rsidR="00C232E6">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 is defined as “the capacity of beginning anew”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9). The principle of freedom is, for her, equivalent to “the principle of beginning.” In other words, the principle of action, the principle of beginning, and the principle of freedom mutually define each other and distinguish human being as human. What Arendt means by “action” is articulated in the first five sections of chapter V, sections #24 through #28. The entire book is written from the magnificent perspective on personhood set out in these thirty plus pages. </w:t>
      </w:r>
    </w:p>
    <w:p w14:paraId="36F5D5D3" w14:textId="77777777" w:rsidR="00090C41" w:rsidRPr="00E41015" w:rsidRDefault="00090C41">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The energy pulsing through its pages springs from the fact </w:t>
      </w:r>
      <w:r w:rsidR="0031711B" w:rsidRPr="00E41015">
        <w:rPr>
          <w:rStyle w:val="HTMLTypewriter"/>
          <w:rFonts w:ascii="Times New Roman" w:hAnsi="Times New Roman"/>
          <w:color w:val="000000"/>
          <w:sz w:val="24"/>
          <w:szCs w:val="24"/>
        </w:rPr>
        <w:t xml:space="preserve">that </w:t>
      </w:r>
      <w:r w:rsidRPr="00E41015">
        <w:rPr>
          <w:rStyle w:val="HTMLTypewriter"/>
          <w:rFonts w:ascii="Times New Roman" w:hAnsi="Times New Roman"/>
          <w:color w:val="000000"/>
          <w:sz w:val="24"/>
          <w:szCs w:val="24"/>
        </w:rPr>
        <w:t>she finds the entire weight of Western philosophical tradition and modern society arrayed against her powerfully original notion of freedom. The radical force of Arendt’s oppositional stance is all the more intense because of the absence of rhetorical flourish. It is expressed, instead, in the relentlessness of her thought train. It is expressed in her rigorously careful attention to distinctions. It is expressed in the architectonic of the book, which has the disciplined, elegant, infinitely complex beauty of Bach’s Brandenburg Concertos.</w:t>
      </w:r>
      <w:r w:rsidR="004F43CD">
        <w:rPr>
          <w:rStyle w:val="FootnoteReference"/>
          <w:color w:val="000000"/>
        </w:rPr>
        <w:footnoteReference w:id="2"/>
      </w:r>
    </w:p>
    <w:p w14:paraId="1018DFDD" w14:textId="77777777" w:rsidR="003C6098" w:rsidRPr="00E41015" w:rsidRDefault="003C6098">
      <w:pPr>
        <w:rPr>
          <w:rStyle w:val="HTMLTypewriter"/>
          <w:rFonts w:ascii="Times New Roman" w:hAnsi="Times New Roman"/>
          <w:color w:val="000000"/>
          <w:sz w:val="24"/>
          <w:szCs w:val="24"/>
        </w:rPr>
      </w:pPr>
    </w:p>
    <w:p w14:paraId="2550DD74" w14:textId="77777777" w:rsidR="003C6098" w:rsidRPr="00E41015" w:rsidRDefault="00483AD0">
      <w:pPr>
        <w:rPr>
          <w:rStyle w:val="HTMLTypewriter"/>
          <w:rFonts w:ascii="Times New Roman" w:hAnsi="Times New Roman"/>
          <w:color w:val="000000"/>
          <w:sz w:val="24"/>
          <w:szCs w:val="24"/>
        </w:rPr>
      </w:pPr>
      <w:r w:rsidRPr="0034109D">
        <w:rPr>
          <w:rStyle w:val="HTMLTypewriter"/>
          <w:rFonts w:ascii="Times New Roman" w:hAnsi="Times New Roman"/>
          <w:b/>
          <w:color w:val="000000"/>
          <w:sz w:val="24"/>
          <w:szCs w:val="24"/>
        </w:rPr>
        <w:t>Chapter O</w:t>
      </w:r>
      <w:r w:rsidR="003C6098" w:rsidRPr="0034109D">
        <w:rPr>
          <w:rStyle w:val="HTMLTypewriter"/>
          <w:rFonts w:ascii="Times New Roman" w:hAnsi="Times New Roman"/>
          <w:b/>
          <w:color w:val="000000"/>
          <w:sz w:val="24"/>
          <w:szCs w:val="24"/>
        </w:rPr>
        <w:t>ne</w:t>
      </w:r>
      <w:r w:rsidR="00D53998">
        <w:rPr>
          <w:rStyle w:val="FootnoteReference"/>
          <w:color w:val="000000"/>
        </w:rPr>
        <w:footnoteReference w:id="3"/>
      </w:r>
    </w:p>
    <w:p w14:paraId="2A4C7F83" w14:textId="77777777" w:rsidR="003C6098" w:rsidRPr="00E41015" w:rsidRDefault="003C6098">
      <w:pPr>
        <w:rPr>
          <w:rStyle w:val="HTMLTypewriter"/>
          <w:rFonts w:ascii="Times New Roman" w:hAnsi="Times New Roman"/>
          <w:color w:val="000000"/>
          <w:sz w:val="24"/>
          <w:szCs w:val="24"/>
        </w:rPr>
      </w:pPr>
    </w:p>
    <w:p w14:paraId="53C48C4C"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What are the conditions for freedom? That is the question that underlies the </w:t>
      </w:r>
      <w:r w:rsidR="00580E2F" w:rsidRPr="00E41015">
        <w:rPr>
          <w:rStyle w:val="HTMLTypewriter"/>
          <w:rFonts w:ascii="Times New Roman" w:hAnsi="Times New Roman"/>
          <w:color w:val="000000"/>
          <w:sz w:val="24"/>
          <w:szCs w:val="24"/>
        </w:rPr>
        <w:t>whole book</w:t>
      </w:r>
      <w:r w:rsidRPr="00E41015">
        <w:rPr>
          <w:rStyle w:val="HTMLTypewriter"/>
          <w:rFonts w:ascii="Times New Roman" w:hAnsi="Times New Roman"/>
          <w:color w:val="000000"/>
          <w:sz w:val="24"/>
          <w:szCs w:val="24"/>
        </w:rPr>
        <w:t xml:space="preserve">. </w:t>
      </w:r>
      <w:r w:rsidR="000643FA" w:rsidRPr="00E41015">
        <w:rPr>
          <w:rStyle w:val="HTMLTypewriter"/>
          <w:rFonts w:ascii="Times New Roman" w:hAnsi="Times New Roman"/>
          <w:color w:val="000000"/>
          <w:sz w:val="24"/>
          <w:szCs w:val="24"/>
        </w:rPr>
        <w:t xml:space="preserve">Since she defines freedom in terms of action, she begins by defining the conditions of human activities. </w:t>
      </w:r>
      <w:r w:rsidRPr="00E41015">
        <w:rPr>
          <w:rStyle w:val="HTMLTypewriter"/>
          <w:rFonts w:ascii="Times New Roman" w:hAnsi="Times New Roman"/>
          <w:color w:val="000000"/>
          <w:sz w:val="24"/>
          <w:szCs w:val="24"/>
        </w:rPr>
        <w:t>Arendt approaches this question by introducing a set of categories and distinctions, starting with a distinction between three fundamental human activities, labor, work, and action, and their three corresponding conditions or requirements, life, worldliness, and plurality, respectively. Not only is she concerned with the definitio</w:t>
      </w:r>
      <w:r w:rsidR="000A7DE9" w:rsidRPr="00E41015">
        <w:rPr>
          <w:rStyle w:val="HTMLTypewriter"/>
          <w:rFonts w:ascii="Times New Roman" w:hAnsi="Times New Roman"/>
          <w:color w:val="000000"/>
          <w:sz w:val="24"/>
          <w:szCs w:val="24"/>
        </w:rPr>
        <w:t>n</w:t>
      </w:r>
      <w:r w:rsidRPr="00E41015">
        <w:rPr>
          <w:rStyle w:val="HTMLTypewriter"/>
          <w:rFonts w:ascii="Times New Roman" w:hAnsi="Times New Roman"/>
          <w:color w:val="000000"/>
          <w:sz w:val="24"/>
          <w:szCs w:val="24"/>
        </w:rPr>
        <w:t>s of these terms, she is also concerned with their order, asserting the preeminence</w:t>
      </w:r>
      <w:r w:rsidR="004F43CD">
        <w:rPr>
          <w:rStyle w:val="FootnoteReference"/>
          <w:color w:val="000000"/>
        </w:rPr>
        <w:footnoteReference w:id="4"/>
      </w:r>
      <w:r w:rsidRPr="00E41015">
        <w:rPr>
          <w:rStyle w:val="HTMLTypewriter"/>
          <w:rFonts w:ascii="Times New Roman" w:hAnsi="Times New Roman"/>
          <w:color w:val="000000"/>
          <w:sz w:val="24"/>
          <w:szCs w:val="24"/>
        </w:rPr>
        <w:t xml:space="preserve"> of activity over contemplation, and the activity of action over the activities of labor and work. </w:t>
      </w:r>
    </w:p>
    <w:p w14:paraId="364712EE" w14:textId="77777777" w:rsidR="00A57EF0" w:rsidRPr="00E41015" w:rsidRDefault="00A57EF0">
      <w:pPr>
        <w:rPr>
          <w:rStyle w:val="HTMLTypewriter"/>
          <w:rFonts w:ascii="Times New Roman" w:hAnsi="Times New Roman"/>
          <w:color w:val="000000"/>
          <w:sz w:val="24"/>
          <w:szCs w:val="24"/>
        </w:rPr>
      </w:pPr>
      <w:r w:rsidRPr="0034109D">
        <w:rPr>
          <w:rStyle w:val="HTMLTypewriter"/>
          <w:rFonts w:ascii="Times New Roman" w:hAnsi="Times New Roman"/>
          <w:b/>
          <w:color w:val="000000"/>
          <w:sz w:val="24"/>
          <w:szCs w:val="24"/>
        </w:rPr>
        <w:lastRenderedPageBreak/>
        <w:t>Chapter Two</w:t>
      </w:r>
      <w:r w:rsidR="00831DBE">
        <w:rPr>
          <w:rStyle w:val="FootnoteReference"/>
          <w:color w:val="000000"/>
        </w:rPr>
        <w:footnoteReference w:id="5"/>
      </w:r>
    </w:p>
    <w:p w14:paraId="5FAE0DB3" w14:textId="77777777" w:rsidR="00483AD0" w:rsidRPr="00E41015" w:rsidRDefault="00483AD0">
      <w:pPr>
        <w:rPr>
          <w:rStyle w:val="HTMLTypewriter"/>
          <w:rFonts w:ascii="Times New Roman" w:hAnsi="Times New Roman"/>
          <w:color w:val="000000"/>
          <w:sz w:val="24"/>
          <w:szCs w:val="24"/>
        </w:rPr>
      </w:pPr>
    </w:p>
    <w:p w14:paraId="335072AE" w14:textId="77777777" w:rsidR="00082EC2" w:rsidRDefault="00090C41" w:rsidP="00D465C3">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The second chapter introduces the notion of “location” by asserting, in the opening paragraph, the rootedness of activity in a world. </w:t>
      </w:r>
      <w:r w:rsidR="00D465C3" w:rsidRPr="00E41015">
        <w:rPr>
          <w:rStyle w:val="HTMLTypewriter"/>
          <w:rFonts w:ascii="Times New Roman" w:hAnsi="Times New Roman"/>
          <w:color w:val="000000"/>
          <w:sz w:val="24"/>
          <w:szCs w:val="24"/>
        </w:rPr>
        <w:t>Deep down in the conditions for a worldly freedom is the problematic of the kind of order, commonality, sharedness, association that has space for freedom that will nourish the unique distinctiveness of individual persons</w:t>
      </w:r>
      <w:r w:rsidR="00C329B6">
        <w:rPr>
          <w:rStyle w:val="HTMLTypewriter"/>
          <w:rFonts w:ascii="Times New Roman" w:hAnsi="Times New Roman"/>
          <w:color w:val="000000"/>
          <w:sz w:val="24"/>
          <w:szCs w:val="24"/>
        </w:rPr>
        <w:t>.</w:t>
      </w:r>
      <w:r w:rsidR="00D465C3">
        <w:rPr>
          <w:rStyle w:val="HTMLTypewriter"/>
          <w:rFonts w:ascii="Times New Roman" w:hAnsi="Times New Roman"/>
          <w:color w:val="000000"/>
          <w:sz w:val="24"/>
          <w:szCs w:val="24"/>
        </w:rPr>
        <w:t xml:space="preserve"> </w:t>
      </w:r>
      <w:r w:rsidRPr="00E41015">
        <w:rPr>
          <w:rStyle w:val="HTMLTypewriter"/>
          <w:rFonts w:ascii="Times New Roman" w:hAnsi="Times New Roman"/>
          <w:color w:val="000000"/>
          <w:sz w:val="24"/>
          <w:szCs w:val="24"/>
        </w:rPr>
        <w:t>“World,” “location,” “environment,” “land,” “wildness,” and “rootedness” – the vocabulary of space and place in the opening paragraph is already rich.</w:t>
      </w:r>
      <w:r w:rsidR="00516963">
        <w:rPr>
          <w:rStyle w:val="FootnoteReference"/>
          <w:color w:val="000000"/>
        </w:rPr>
        <w:footnoteReference w:id="6"/>
      </w:r>
    </w:p>
    <w:p w14:paraId="304C5135" w14:textId="77777777" w:rsidR="00D20060" w:rsidRPr="00E41015" w:rsidRDefault="00D20060" w:rsidP="00082EC2">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Freedom, according to Arendt, requires world. Freedom is not from but for the world. Freedom is not from others, but requires the plurality of others. Freedom as action requires rootedness in a world of men and things.</w:t>
      </w:r>
    </w:p>
    <w:p w14:paraId="7AD4297B"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870491" w:rsidRPr="00E41015">
        <w:rPr>
          <w:rStyle w:val="HTMLTypewriter"/>
          <w:rFonts w:ascii="Times New Roman" w:hAnsi="Times New Roman"/>
          <w:color w:val="000000"/>
          <w:sz w:val="24"/>
          <w:szCs w:val="24"/>
        </w:rPr>
        <w:t xml:space="preserve">Interwoven with the theme of location is the theme of association, “the fact that men live together,” “in the presence of others,” in “the society of men.” </w:t>
      </w:r>
      <w:r w:rsidRPr="00E41015">
        <w:rPr>
          <w:rStyle w:val="HTMLTypewriter"/>
          <w:rFonts w:ascii="Times New Roman" w:hAnsi="Times New Roman"/>
          <w:color w:val="000000"/>
          <w:sz w:val="24"/>
          <w:szCs w:val="24"/>
        </w:rPr>
        <w:t xml:space="preserve">This theme is the subject of the second paragraph. </w:t>
      </w:r>
    </w:p>
    <w:p w14:paraId="38483B9C"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Chapter two is about the relationship between these two themes, place and association. Proper location is essential to proper association – that is one way of summarizing the point of the chapter in seven words. </w:t>
      </w:r>
      <w:r w:rsidR="00694ADB">
        <w:rPr>
          <w:rStyle w:val="HTMLTypewriter"/>
          <w:rFonts w:ascii="Times New Roman" w:hAnsi="Times New Roman"/>
          <w:color w:val="000000"/>
          <w:sz w:val="24"/>
          <w:szCs w:val="24"/>
        </w:rPr>
        <w:t xml:space="preserve">“In any given civilization,” she says at the end of the chapter, “we shall see that each human activity points to its proper location in the world” (73). </w:t>
      </w:r>
      <w:r w:rsidRPr="00E41015">
        <w:rPr>
          <w:rStyle w:val="HTMLTypewriter"/>
          <w:rFonts w:ascii="Times New Roman" w:hAnsi="Times New Roman"/>
          <w:color w:val="000000"/>
          <w:sz w:val="24"/>
          <w:szCs w:val="24"/>
        </w:rPr>
        <w:t>There is a “decisive division,” according</w:t>
      </w:r>
      <w:r w:rsidR="00F12F1F">
        <w:rPr>
          <w:rStyle w:val="HTMLTypewriter"/>
          <w:rFonts w:ascii="Times New Roman" w:hAnsi="Times New Roman"/>
          <w:color w:val="000000"/>
          <w:sz w:val="24"/>
          <w:szCs w:val="24"/>
        </w:rPr>
        <w:t xml:space="preserve"> to Arendt, between two “realms</w:t>
      </w:r>
      <w:r w:rsidRPr="00E41015">
        <w:rPr>
          <w:rStyle w:val="HTMLTypewriter"/>
          <w:rFonts w:ascii="Times New Roman" w:hAnsi="Times New Roman"/>
          <w:color w:val="000000"/>
          <w:sz w:val="24"/>
          <w:szCs w:val="24"/>
        </w:rPr>
        <w:t>” of association, t</w:t>
      </w:r>
      <w:r w:rsidR="00D2575B" w:rsidRPr="00E41015">
        <w:rPr>
          <w:rStyle w:val="HTMLTypewriter"/>
          <w:rFonts w:ascii="Times New Roman" w:hAnsi="Times New Roman"/>
          <w:color w:val="000000"/>
          <w:sz w:val="24"/>
          <w:szCs w:val="24"/>
        </w:rPr>
        <w:t>he public and the private (</w:t>
      </w:r>
      <w:r w:rsidRPr="00E41015">
        <w:rPr>
          <w:rStyle w:val="HTMLTypewriter"/>
          <w:rFonts w:ascii="Times New Roman" w:hAnsi="Times New Roman"/>
          <w:color w:val="000000"/>
          <w:sz w:val="24"/>
          <w:szCs w:val="24"/>
        </w:rPr>
        <w:t>28). She is referring here in the first instance, to ancient political thought, according to which this division corresponded to a division between the sphere of the polis and the sphere of househo</w:t>
      </w:r>
      <w:r w:rsidR="00396724" w:rsidRPr="00E41015">
        <w:rPr>
          <w:rStyle w:val="HTMLTypewriter"/>
          <w:rFonts w:ascii="Times New Roman" w:hAnsi="Times New Roman"/>
          <w:color w:val="000000"/>
          <w:sz w:val="24"/>
          <w:szCs w:val="24"/>
        </w:rPr>
        <w:t>l</w:t>
      </w:r>
      <w:r w:rsidRPr="00E41015">
        <w:rPr>
          <w:rStyle w:val="HTMLTypewriter"/>
          <w:rFonts w:ascii="Times New Roman" w:hAnsi="Times New Roman"/>
          <w:color w:val="000000"/>
          <w:sz w:val="24"/>
          <w:szCs w:val="24"/>
        </w:rPr>
        <w:t xml:space="preserve">d and family, between kinds of activities and between kinds of associations. By the end of the chapter it is clear that for Arendt the historical judgments of such ancient political communities corresponds to the nature of the </w:t>
      </w:r>
      <w:r w:rsidR="00D2575B" w:rsidRPr="00E41015">
        <w:rPr>
          <w:rStyle w:val="HTMLTypewriter"/>
          <w:rFonts w:ascii="Times New Roman" w:hAnsi="Times New Roman"/>
          <w:color w:val="000000"/>
          <w:sz w:val="24"/>
          <w:szCs w:val="24"/>
        </w:rPr>
        <w:t xml:space="preserve">activities themselves (Cf. </w:t>
      </w:r>
      <w:r w:rsidRPr="00E41015">
        <w:rPr>
          <w:rStyle w:val="HTMLTypewriter"/>
          <w:rFonts w:ascii="Times New Roman" w:hAnsi="Times New Roman"/>
          <w:color w:val="000000"/>
          <w:sz w:val="24"/>
          <w:szCs w:val="24"/>
        </w:rPr>
        <w:t xml:space="preserve">78). </w:t>
      </w:r>
    </w:p>
    <w:p w14:paraId="4623A71D"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The public realm is one form of associational space. The public realm, she says, “gathers us together and yet prevents our falling over </w:t>
      </w:r>
      <w:r w:rsidR="005E147A" w:rsidRPr="00E41015">
        <w:rPr>
          <w:rStyle w:val="HTMLTypewriter"/>
          <w:rFonts w:ascii="Times New Roman" w:hAnsi="Times New Roman"/>
          <w:color w:val="000000"/>
          <w:sz w:val="24"/>
          <w:szCs w:val="24"/>
        </w:rPr>
        <w:t>each other, so to speak” (</w:t>
      </w:r>
      <w:r w:rsidRPr="00E41015">
        <w:rPr>
          <w:rStyle w:val="HTMLTypewriter"/>
          <w:rFonts w:ascii="Times New Roman" w:hAnsi="Times New Roman"/>
          <w:color w:val="000000"/>
          <w:sz w:val="24"/>
          <w:szCs w:val="24"/>
        </w:rPr>
        <w:t xml:space="preserve">52). It fulfils this dual function in its capacity as world, “the common world,” the “world of </w:t>
      </w:r>
      <w:r w:rsidRPr="00E41015">
        <w:rPr>
          <w:rStyle w:val="HTMLTypewriter"/>
          <w:rFonts w:ascii="Times New Roman" w:hAnsi="Times New Roman"/>
          <w:color w:val="000000"/>
          <w:sz w:val="24"/>
          <w:szCs w:val="24"/>
        </w:rPr>
        <w:lastRenderedPageBreak/>
        <w:t xml:space="preserve">things” which exists “between those who have it in common.” This world of things is also characterized by her as “the human artifact, the fabrication of human hands.” The public realm also </w:t>
      </w:r>
      <w:r w:rsidR="00870491" w:rsidRPr="00E41015">
        <w:rPr>
          <w:rStyle w:val="HTMLTypewriter"/>
          <w:rFonts w:ascii="Times New Roman" w:hAnsi="Times New Roman"/>
          <w:color w:val="000000"/>
          <w:sz w:val="24"/>
          <w:szCs w:val="24"/>
        </w:rPr>
        <w:t>refers</w:t>
      </w:r>
      <w:r w:rsidRPr="00E41015">
        <w:rPr>
          <w:rStyle w:val="HTMLTypewriter"/>
          <w:rFonts w:ascii="Times New Roman" w:hAnsi="Times New Roman"/>
          <w:color w:val="000000"/>
          <w:sz w:val="24"/>
          <w:szCs w:val="24"/>
        </w:rPr>
        <w:t xml:space="preserve"> to the “affairs which go on among those who inhabit the man-made world together” (Ibid). </w:t>
      </w:r>
    </w:p>
    <w:p w14:paraId="60CEDC66"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The private realm is another distinct form of associational space. This </w:t>
      </w:r>
      <w:r w:rsidRPr="00E41015">
        <w:rPr>
          <w:rStyle w:val="HTMLTypewriter"/>
          <w:rFonts w:ascii="Times New Roman" w:hAnsi="Times New Roman"/>
          <w:color w:val="000000"/>
          <w:sz w:val="24"/>
          <w:szCs w:val="24"/>
          <w:u w:val="single"/>
        </w:rPr>
        <w:t>associational</w:t>
      </w:r>
      <w:r w:rsidRPr="00E41015">
        <w:rPr>
          <w:rStyle w:val="FootnoteReference"/>
          <w:color w:val="000000"/>
        </w:rPr>
        <w:footnoteReference w:id="7"/>
      </w:r>
      <w:r w:rsidRPr="00E41015">
        <w:rPr>
          <w:rStyle w:val="HTMLTypewriter"/>
          <w:rFonts w:ascii="Times New Roman" w:hAnsi="Times New Roman"/>
          <w:color w:val="000000"/>
          <w:sz w:val="24"/>
          <w:szCs w:val="24"/>
        </w:rPr>
        <w:t xml:space="preserve"> meaning is clear in the case of what she refers to as “the household sphere,” whose distinctive trait was that in it men lived together because they were driven by their wants and needs (30). </w:t>
      </w:r>
      <w:r w:rsidR="00870491" w:rsidRPr="00E41015">
        <w:rPr>
          <w:rStyle w:val="HTMLTypewriter"/>
          <w:rFonts w:ascii="Times New Roman" w:hAnsi="Times New Roman"/>
          <w:color w:val="000000"/>
          <w:sz w:val="24"/>
          <w:szCs w:val="24"/>
        </w:rPr>
        <w:t>“The</w:t>
      </w:r>
      <w:r w:rsidRPr="00E41015">
        <w:rPr>
          <w:rStyle w:val="HTMLTypewriter"/>
          <w:rFonts w:ascii="Times New Roman" w:hAnsi="Times New Roman"/>
          <w:color w:val="000000"/>
          <w:sz w:val="24"/>
          <w:szCs w:val="24"/>
        </w:rPr>
        <w:t xml:space="preserve"> driving force was life itself … which</w:t>
      </w:r>
      <w:r w:rsidR="00B653F6" w:rsidRPr="00E41015">
        <w:rPr>
          <w:rStyle w:val="HTMLTypewriter"/>
          <w:rFonts w:ascii="Times New Roman" w:hAnsi="Times New Roman"/>
          <w:color w:val="000000"/>
          <w:sz w:val="24"/>
          <w:szCs w:val="24"/>
        </w:rPr>
        <w:t xml:space="preserve"> needs the company of others” (</w:t>
      </w:r>
      <w:r w:rsidRPr="00E41015">
        <w:rPr>
          <w:rStyle w:val="HTMLTypewriter"/>
          <w:rFonts w:ascii="Times New Roman" w:hAnsi="Times New Roman"/>
          <w:color w:val="000000"/>
          <w:sz w:val="24"/>
          <w:szCs w:val="24"/>
        </w:rPr>
        <w:t xml:space="preserve">30). She is, again, speaking here of classical antiquity, Rome in particular, but again it is clear that she regards this as true as a general condition. </w:t>
      </w:r>
    </w:p>
    <w:p w14:paraId="7AEA1F3A" w14:textId="77777777" w:rsidR="00D55298" w:rsidRPr="00E41015" w:rsidRDefault="00090C41" w:rsidP="00D55298">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Arendt is well known for her advocacy of politics and the public realm. Less well known is her no less insistent assertion of the necessity and importance of the private realm, including private property. While she calls attention first to the ancient connotation of privation or deprivation</w:t>
      </w:r>
      <w:r w:rsidR="005F7438" w:rsidRPr="00E41015">
        <w:rPr>
          <w:rStyle w:val="HTMLTypewriter"/>
          <w:rFonts w:ascii="Times New Roman" w:hAnsi="Times New Roman"/>
          <w:color w:val="000000"/>
          <w:sz w:val="24"/>
          <w:szCs w:val="24"/>
        </w:rPr>
        <w:t xml:space="preserve"> (</w:t>
      </w:r>
      <w:r w:rsidRPr="00E41015">
        <w:rPr>
          <w:rStyle w:val="HTMLTypewriter"/>
          <w:rFonts w:ascii="Times New Roman" w:hAnsi="Times New Roman"/>
          <w:color w:val="000000"/>
          <w:sz w:val="24"/>
          <w:szCs w:val="24"/>
        </w:rPr>
        <w:t xml:space="preserve">58), she then proceeds to call attention to the non-privative significance of the idea: “to have no private place of one’s own … </w:t>
      </w:r>
      <w:r w:rsidR="00870491" w:rsidRPr="00E41015">
        <w:rPr>
          <w:rStyle w:val="HTMLTypewriter"/>
          <w:rFonts w:ascii="Times New Roman" w:hAnsi="Times New Roman"/>
          <w:color w:val="000000"/>
          <w:sz w:val="24"/>
          <w:szCs w:val="24"/>
        </w:rPr>
        <w:t>meant</w:t>
      </w:r>
      <w:r w:rsidRPr="00E41015">
        <w:rPr>
          <w:rStyle w:val="HTMLTypewriter"/>
          <w:rFonts w:ascii="Times New Roman" w:hAnsi="Times New Roman"/>
          <w:color w:val="000000"/>
          <w:sz w:val="24"/>
          <w:szCs w:val="24"/>
        </w:rPr>
        <w:t xml:space="preserve"> to be no longer human”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64). She refers to “the danger to human existence from the elimination of the private realm”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70). </w:t>
      </w:r>
      <w:r w:rsidR="00360AFE">
        <w:rPr>
          <w:rStyle w:val="HTMLTypewriter"/>
          <w:rFonts w:ascii="Times New Roman" w:hAnsi="Times New Roman"/>
          <w:color w:val="000000"/>
          <w:sz w:val="24"/>
          <w:szCs w:val="24"/>
        </w:rPr>
        <w:t xml:space="preserve">She acknowledges that the modern age “has discovered how rich and manifold the realm of the hidden can be under the conditions of intimacy” (72). </w:t>
      </w:r>
      <w:r w:rsidR="00D55298" w:rsidRPr="00E41015">
        <w:rPr>
          <w:rStyle w:val="HTMLTypewriter"/>
          <w:rFonts w:ascii="Times New Roman" w:hAnsi="Times New Roman"/>
          <w:color w:val="000000"/>
          <w:sz w:val="24"/>
          <w:szCs w:val="24"/>
        </w:rPr>
        <w:t xml:space="preserve">The two realms, private and public, can only exist “in the form of coexistence” </w:t>
      </w:r>
      <w:r w:rsidR="005F7438" w:rsidRPr="00E41015">
        <w:rPr>
          <w:rStyle w:val="HTMLTypewriter"/>
          <w:rFonts w:ascii="Times New Roman" w:hAnsi="Times New Roman"/>
          <w:color w:val="000000"/>
          <w:sz w:val="24"/>
          <w:szCs w:val="24"/>
        </w:rPr>
        <w:t>(</w:t>
      </w:r>
      <w:r w:rsidR="00D55298" w:rsidRPr="00E41015">
        <w:rPr>
          <w:rStyle w:val="HTMLTypewriter"/>
          <w:rFonts w:ascii="Times New Roman" w:hAnsi="Times New Roman"/>
          <w:color w:val="000000"/>
          <w:sz w:val="24"/>
          <w:szCs w:val="24"/>
        </w:rPr>
        <w:t xml:space="preserve">58). It is “of utmost importance to the political body” </w:t>
      </w:r>
      <w:r w:rsidR="005F7438" w:rsidRPr="00E41015">
        <w:rPr>
          <w:rStyle w:val="HTMLTypewriter"/>
          <w:rFonts w:ascii="Times New Roman" w:hAnsi="Times New Roman"/>
          <w:color w:val="000000"/>
          <w:sz w:val="24"/>
          <w:szCs w:val="24"/>
        </w:rPr>
        <w:t>(</w:t>
      </w:r>
      <w:r w:rsidR="00D55298" w:rsidRPr="00E41015">
        <w:rPr>
          <w:rStyle w:val="HTMLTypewriter"/>
          <w:rFonts w:ascii="Times New Roman" w:hAnsi="Times New Roman"/>
          <w:color w:val="000000"/>
          <w:sz w:val="24"/>
          <w:szCs w:val="24"/>
        </w:rPr>
        <w:t xml:space="preserve">61). Again, “to have no private place of one’s own … meant to be no longer human” </w:t>
      </w:r>
      <w:r w:rsidR="005F7438" w:rsidRPr="00E41015">
        <w:rPr>
          <w:rStyle w:val="HTMLTypewriter"/>
          <w:rFonts w:ascii="Times New Roman" w:hAnsi="Times New Roman"/>
          <w:color w:val="000000"/>
          <w:sz w:val="24"/>
          <w:szCs w:val="24"/>
        </w:rPr>
        <w:t>(</w:t>
      </w:r>
      <w:r w:rsidR="00D55298" w:rsidRPr="00E41015">
        <w:rPr>
          <w:rStyle w:val="HTMLTypewriter"/>
          <w:rFonts w:ascii="Times New Roman" w:hAnsi="Times New Roman"/>
          <w:color w:val="000000"/>
          <w:sz w:val="24"/>
          <w:szCs w:val="24"/>
        </w:rPr>
        <w:t xml:space="preserve">64). </w:t>
      </w:r>
    </w:p>
    <w:p w14:paraId="02BCDCAD"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0F564A">
        <w:rPr>
          <w:rStyle w:val="HTMLTypewriter"/>
          <w:rFonts w:ascii="Times New Roman" w:hAnsi="Times New Roman"/>
          <w:color w:val="000000"/>
          <w:sz w:val="24"/>
          <w:szCs w:val="24"/>
        </w:rPr>
        <w:t>She</w:t>
      </w:r>
      <w:r w:rsidRPr="00E41015">
        <w:rPr>
          <w:rStyle w:val="HTMLTypewriter"/>
          <w:rFonts w:ascii="Times New Roman" w:hAnsi="Times New Roman"/>
          <w:color w:val="000000"/>
          <w:sz w:val="24"/>
          <w:szCs w:val="24"/>
        </w:rPr>
        <w:t xml:space="preserve"> is not content merely to posit the two forms of associational space, private and </w:t>
      </w:r>
      <w:r w:rsidR="00870491" w:rsidRPr="00E41015">
        <w:rPr>
          <w:rStyle w:val="HTMLTypewriter"/>
          <w:rFonts w:ascii="Times New Roman" w:hAnsi="Times New Roman"/>
          <w:color w:val="000000"/>
          <w:sz w:val="24"/>
          <w:szCs w:val="24"/>
        </w:rPr>
        <w:t>public;</w:t>
      </w:r>
      <w:r w:rsidRPr="00E41015">
        <w:rPr>
          <w:rStyle w:val="HTMLTypewriter"/>
          <w:rFonts w:ascii="Times New Roman" w:hAnsi="Times New Roman"/>
          <w:color w:val="000000"/>
          <w:sz w:val="24"/>
          <w:szCs w:val="24"/>
        </w:rPr>
        <w:t xml:space="preserve"> she is also explicit and emphatic about the necessity of the boundary between the two, and the vital necessity of the private as a condition for the public realm. For example, she points out that “the law” in Greece “originally was identified with this boundary line … between the private and the public, sheltering and protecting both realms, while, at the same time, separating them from each other”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63). Again, “this wall-like law was sacred … without it a public realm could no more exist than a piece of property without a fence to hedge it in”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64). Here the metaphor of location, boundary takes on literal, material reference. </w:t>
      </w:r>
      <w:r w:rsidR="00870491" w:rsidRPr="00E41015">
        <w:rPr>
          <w:rStyle w:val="HTMLTypewriter"/>
          <w:rFonts w:ascii="Times New Roman" w:hAnsi="Times New Roman"/>
          <w:color w:val="000000"/>
          <w:sz w:val="24"/>
          <w:szCs w:val="24"/>
        </w:rPr>
        <w:t>The bo</w:t>
      </w:r>
      <w:r w:rsidR="00606E65">
        <w:rPr>
          <w:rStyle w:val="HTMLTypewriter"/>
          <w:rFonts w:ascii="Times New Roman" w:hAnsi="Times New Roman"/>
          <w:color w:val="000000"/>
          <w:sz w:val="24"/>
          <w:szCs w:val="24"/>
        </w:rPr>
        <w:t xml:space="preserve">undary line of the law was, in </w:t>
      </w:r>
      <w:r w:rsidR="00870491" w:rsidRPr="00E41015">
        <w:rPr>
          <w:rStyle w:val="HTMLTypewriter"/>
          <w:rFonts w:ascii="Times New Roman" w:hAnsi="Times New Roman"/>
          <w:color w:val="000000"/>
          <w:sz w:val="24"/>
          <w:szCs w:val="24"/>
        </w:rPr>
        <w:t xml:space="preserve">antiquity “still actually a space, a kind of no-man’s land” </w:t>
      </w:r>
      <w:r w:rsidR="005F7438" w:rsidRPr="00E41015">
        <w:rPr>
          <w:rStyle w:val="HTMLTypewriter"/>
          <w:rFonts w:ascii="Times New Roman" w:hAnsi="Times New Roman"/>
          <w:color w:val="000000"/>
          <w:sz w:val="24"/>
          <w:szCs w:val="24"/>
        </w:rPr>
        <w:t>(</w:t>
      </w:r>
      <w:r w:rsidR="00870491" w:rsidRPr="00E41015">
        <w:rPr>
          <w:rStyle w:val="HTMLTypewriter"/>
          <w:rFonts w:ascii="Times New Roman" w:hAnsi="Times New Roman"/>
          <w:color w:val="000000"/>
          <w:sz w:val="24"/>
          <w:szCs w:val="24"/>
        </w:rPr>
        <w:t xml:space="preserve">63). </w:t>
      </w:r>
      <w:r w:rsidRPr="00E41015">
        <w:rPr>
          <w:rStyle w:val="HTMLTypewriter"/>
          <w:rFonts w:ascii="Times New Roman" w:hAnsi="Times New Roman"/>
          <w:color w:val="000000"/>
          <w:sz w:val="24"/>
          <w:szCs w:val="24"/>
        </w:rPr>
        <w:t xml:space="preserve">This literalness of private place also comes to expression in the notion of “property,” which plays a central role in </w:t>
      </w:r>
      <w:r w:rsidRPr="00E41015">
        <w:rPr>
          <w:rStyle w:val="HTMLTypewriter"/>
          <w:rFonts w:ascii="Times New Roman" w:hAnsi="Times New Roman"/>
          <w:i/>
          <w:iCs/>
          <w:color w:val="000000"/>
          <w:sz w:val="24"/>
          <w:szCs w:val="24"/>
        </w:rPr>
        <w:t>The Human Condition</w:t>
      </w:r>
      <w:r w:rsidRPr="00E41015">
        <w:rPr>
          <w:rStyle w:val="HTMLTypewriter"/>
          <w:rFonts w:ascii="Times New Roman" w:hAnsi="Times New Roman"/>
          <w:color w:val="000000"/>
          <w:sz w:val="24"/>
          <w:szCs w:val="24"/>
        </w:rPr>
        <w:t xml:space="preserve">. </w:t>
      </w:r>
    </w:p>
    <w:p w14:paraId="226A7BD7" w14:textId="77777777" w:rsidR="00FD7588" w:rsidRPr="00E41015" w:rsidRDefault="00090C41" w:rsidP="00FD7588">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Against this background, Arendt pursues a second, opposing chain of thought throughout chapter two, namely, describing the t</w:t>
      </w:r>
      <w:r w:rsidR="00D57044" w:rsidRPr="00E41015">
        <w:rPr>
          <w:rStyle w:val="HTMLTypewriter"/>
          <w:rFonts w:ascii="Times New Roman" w:hAnsi="Times New Roman"/>
          <w:color w:val="000000"/>
          <w:sz w:val="24"/>
          <w:szCs w:val="24"/>
        </w:rPr>
        <w:t>h</w:t>
      </w:r>
      <w:r w:rsidRPr="00E41015">
        <w:rPr>
          <w:rStyle w:val="HTMLTypewriter"/>
          <w:rFonts w:ascii="Times New Roman" w:hAnsi="Times New Roman"/>
          <w:color w:val="000000"/>
          <w:sz w:val="24"/>
          <w:szCs w:val="24"/>
        </w:rPr>
        <w:t xml:space="preserve">reat posed by the emergence in the modern age of a kind of associational space that, precisely, blurs the boundary line between public and private, that threatens to destroy both public and private, that </w:t>
      </w:r>
      <w:r w:rsidR="00870491" w:rsidRPr="00E41015">
        <w:rPr>
          <w:rStyle w:val="HTMLTypewriter"/>
          <w:rFonts w:ascii="Times New Roman" w:hAnsi="Times New Roman"/>
          <w:color w:val="000000"/>
          <w:sz w:val="24"/>
          <w:szCs w:val="24"/>
        </w:rPr>
        <w:t>constitutes</w:t>
      </w:r>
      <w:r w:rsidRPr="00E41015">
        <w:rPr>
          <w:rStyle w:val="HTMLTypewriter"/>
          <w:rFonts w:ascii="Times New Roman" w:hAnsi="Times New Roman"/>
          <w:color w:val="000000"/>
          <w:sz w:val="24"/>
          <w:szCs w:val="24"/>
        </w:rPr>
        <w:t xml:space="preserve"> a “hybrid”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35) form of association. Her label for this third form of associational space is “the social.” </w:t>
      </w:r>
      <w:r w:rsidR="00FD7588" w:rsidRPr="00E41015">
        <w:rPr>
          <w:rStyle w:val="HTMLTypewriter"/>
          <w:rFonts w:ascii="Times New Roman" w:hAnsi="Times New Roman"/>
          <w:color w:val="000000"/>
          <w:sz w:val="24"/>
          <w:szCs w:val="24"/>
        </w:rPr>
        <w:t>If the first chapter prefigures the proper order of freedom, the second prefigures the disorder or dislocation of the modern age that threatens freedom. The order of freedom carries with it the idea that human activities belong to their “proper loca</w:t>
      </w:r>
      <w:r w:rsidR="00E23493" w:rsidRPr="00E41015">
        <w:rPr>
          <w:rStyle w:val="HTMLTypewriter"/>
          <w:rFonts w:ascii="Times New Roman" w:hAnsi="Times New Roman"/>
          <w:color w:val="000000"/>
          <w:sz w:val="24"/>
          <w:szCs w:val="24"/>
        </w:rPr>
        <w:t>tion” (</w:t>
      </w:r>
      <w:r w:rsidR="00FD7588" w:rsidRPr="00E41015">
        <w:rPr>
          <w:rStyle w:val="HTMLTypewriter"/>
          <w:rFonts w:ascii="Times New Roman" w:hAnsi="Times New Roman"/>
          <w:color w:val="000000"/>
          <w:sz w:val="24"/>
          <w:szCs w:val="24"/>
        </w:rPr>
        <w:t>73) and that each location in turn be assigned its proper hierarchical place.</w:t>
      </w:r>
    </w:p>
    <w:p w14:paraId="6A1DBA47" w14:textId="77777777" w:rsidR="00090C41" w:rsidRPr="00E41015" w:rsidRDefault="00FD7588" w:rsidP="00FD7588">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lastRenderedPageBreak/>
        <w:tab/>
        <w:t xml:space="preserve">The disorder of the modern age takes three forms, first, a </w:t>
      </w:r>
      <w:r w:rsidRPr="00E41015">
        <w:rPr>
          <w:rStyle w:val="HTMLTypewriter"/>
          <w:rFonts w:ascii="Times New Roman" w:hAnsi="Times New Roman"/>
          <w:color w:val="000000"/>
          <w:sz w:val="24"/>
          <w:szCs w:val="24"/>
          <w:u w:val="single"/>
        </w:rPr>
        <w:t>dislocation</w:t>
      </w:r>
      <w:r w:rsidRPr="00E41015">
        <w:rPr>
          <w:rStyle w:val="HTMLTypewriter"/>
          <w:rFonts w:ascii="Times New Roman" w:hAnsi="Times New Roman"/>
          <w:color w:val="000000"/>
          <w:sz w:val="24"/>
          <w:szCs w:val="24"/>
        </w:rPr>
        <w:t>, namely, the “rise” of the private real</w:t>
      </w:r>
      <w:r w:rsidR="00FC1A25" w:rsidRPr="00E41015">
        <w:rPr>
          <w:rStyle w:val="HTMLTypewriter"/>
          <w:rFonts w:ascii="Times New Roman" w:hAnsi="Times New Roman"/>
          <w:color w:val="000000"/>
          <w:sz w:val="24"/>
          <w:szCs w:val="24"/>
        </w:rPr>
        <w:t>m into the public realm (</w:t>
      </w:r>
      <w:r w:rsidRPr="00E41015">
        <w:rPr>
          <w:rStyle w:val="HTMLTypewriter"/>
          <w:rFonts w:ascii="Times New Roman" w:hAnsi="Times New Roman"/>
          <w:color w:val="000000"/>
          <w:sz w:val="24"/>
          <w:szCs w:val="24"/>
        </w:rPr>
        <w:t xml:space="preserve">45), which she describes also as the “rise” of “the social.” Second, a </w:t>
      </w:r>
      <w:r w:rsidRPr="00E41015">
        <w:rPr>
          <w:rStyle w:val="HTMLTypewriter"/>
          <w:rFonts w:ascii="Times New Roman" w:hAnsi="Times New Roman"/>
          <w:color w:val="000000"/>
          <w:sz w:val="24"/>
          <w:szCs w:val="24"/>
          <w:u w:val="single"/>
        </w:rPr>
        <w:t>reversal</w:t>
      </w:r>
      <w:r w:rsidRPr="00E41015">
        <w:rPr>
          <w:rStyle w:val="HTMLTypewriter"/>
          <w:rFonts w:ascii="Times New Roman" w:hAnsi="Times New Roman"/>
          <w:color w:val="000000"/>
          <w:sz w:val="24"/>
          <w:szCs w:val="24"/>
        </w:rPr>
        <w:t xml:space="preserve"> in the relationship between politics and society that makes politics “nothing bu</w:t>
      </w:r>
      <w:r w:rsidR="00D51E23">
        <w:rPr>
          <w:rStyle w:val="HTMLTypewriter"/>
          <w:rFonts w:ascii="Times New Roman" w:hAnsi="Times New Roman"/>
          <w:color w:val="000000"/>
          <w:sz w:val="24"/>
          <w:szCs w:val="24"/>
        </w:rPr>
        <w:t>t a function of society” (</w:t>
      </w:r>
      <w:r w:rsidRPr="00E41015">
        <w:rPr>
          <w:rStyle w:val="HTMLTypewriter"/>
          <w:rFonts w:ascii="Times New Roman" w:hAnsi="Times New Roman"/>
          <w:color w:val="000000"/>
          <w:sz w:val="24"/>
          <w:szCs w:val="24"/>
        </w:rPr>
        <w:t xml:space="preserve">33), instead of regarding society as a precondition of politics. And third, a </w:t>
      </w:r>
      <w:r w:rsidR="00246581">
        <w:rPr>
          <w:rStyle w:val="HTMLTypewriter"/>
          <w:rFonts w:ascii="Times New Roman" w:hAnsi="Times New Roman"/>
          <w:color w:val="000000"/>
          <w:sz w:val="24"/>
          <w:szCs w:val="24"/>
        </w:rPr>
        <w:t xml:space="preserve">confusion, or blurring, or even </w:t>
      </w:r>
      <w:r w:rsidRPr="00E41015">
        <w:rPr>
          <w:rStyle w:val="HTMLTypewriter"/>
          <w:rFonts w:ascii="Times New Roman" w:hAnsi="Times New Roman"/>
          <w:color w:val="000000"/>
          <w:sz w:val="24"/>
          <w:szCs w:val="24"/>
          <w:u w:val="single"/>
        </w:rPr>
        <w:t>collapse</w:t>
      </w:r>
      <w:r w:rsidRPr="00E41015">
        <w:rPr>
          <w:rStyle w:val="HTMLTypewriter"/>
          <w:rFonts w:ascii="Times New Roman" w:hAnsi="Times New Roman"/>
          <w:color w:val="000000"/>
          <w:sz w:val="24"/>
          <w:szCs w:val="24"/>
        </w:rPr>
        <w:t xml:space="preserve"> of categories, distinctions, realms, orders, into the conformism, the one-ness, the</w:t>
      </w:r>
      <w:r w:rsidR="00E23493" w:rsidRPr="00E41015">
        <w:rPr>
          <w:rStyle w:val="HTMLTypewriter"/>
          <w:rFonts w:ascii="Times New Roman" w:hAnsi="Times New Roman"/>
          <w:color w:val="000000"/>
          <w:sz w:val="24"/>
          <w:szCs w:val="24"/>
        </w:rPr>
        <w:t xml:space="preserve"> monism of mass society (</w:t>
      </w:r>
      <w:r w:rsidRPr="00E41015">
        <w:rPr>
          <w:rStyle w:val="HTMLTypewriter"/>
          <w:rFonts w:ascii="Times New Roman" w:hAnsi="Times New Roman"/>
          <w:color w:val="000000"/>
          <w:sz w:val="24"/>
          <w:szCs w:val="24"/>
        </w:rPr>
        <w:t>46).</w:t>
      </w:r>
    </w:p>
    <w:p w14:paraId="1180181A"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Arendt’s concept of the social is the most controversial in the book. One author refers to it as “the blob.”</w:t>
      </w:r>
      <w:r w:rsidR="00A81FFE">
        <w:rPr>
          <w:rStyle w:val="FootnoteReference"/>
          <w:color w:val="000000"/>
        </w:rPr>
        <w:footnoteReference w:id="8"/>
      </w:r>
      <w:r w:rsidRPr="00E41015">
        <w:rPr>
          <w:rStyle w:val="HTMLTypewriter"/>
          <w:rFonts w:ascii="Times New Roman" w:hAnsi="Times New Roman"/>
          <w:color w:val="000000"/>
          <w:sz w:val="24"/>
          <w:szCs w:val="24"/>
        </w:rPr>
        <w:t xml:space="preserve"> It sums up in one word the threat posed by the modern age against freedom.</w:t>
      </w:r>
    </w:p>
    <w:p w14:paraId="7A295CE8"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The “social realm”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28) emerges as something </w:t>
      </w:r>
      <w:r w:rsidRPr="00E41015">
        <w:rPr>
          <w:rStyle w:val="HTMLTypewriter"/>
          <w:rFonts w:ascii="Times New Roman" w:hAnsi="Times New Roman"/>
          <w:color w:val="000000"/>
          <w:sz w:val="24"/>
          <w:szCs w:val="24"/>
          <w:u w:val="single"/>
        </w:rPr>
        <w:t>new</w:t>
      </w:r>
      <w:r w:rsidRPr="00E41015">
        <w:rPr>
          <w:rStyle w:val="HTMLTypewriter"/>
          <w:rFonts w:ascii="Times New Roman" w:hAnsi="Times New Roman"/>
          <w:color w:val="000000"/>
          <w:sz w:val="24"/>
          <w:szCs w:val="24"/>
        </w:rPr>
        <w:t xml:space="preserve"> in the modern age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28). That is the main point of section #5. Second, it is “neither private nor public, strictly speaking”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28). The hybrid character of the social is a theme that runs through the rest of the book. For instance, speaking of the consequences of wealth being permitted to take over the public realm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68), she speaks of “the utter extinction of the very difference between the private and public realm, the submission of both in the sphere of the social”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69). In the social realm, the public and the pr</w:t>
      </w:r>
      <w:r w:rsidR="00176129" w:rsidRPr="00E41015">
        <w:rPr>
          <w:rStyle w:val="HTMLTypewriter"/>
          <w:rFonts w:ascii="Times New Roman" w:hAnsi="Times New Roman"/>
          <w:color w:val="000000"/>
          <w:sz w:val="24"/>
          <w:szCs w:val="24"/>
        </w:rPr>
        <w:t>ivate “flow into each other” (</w:t>
      </w:r>
      <w:r w:rsidRPr="00E41015">
        <w:rPr>
          <w:rStyle w:val="HTMLTypewriter"/>
          <w:rFonts w:ascii="Times New Roman" w:hAnsi="Times New Roman"/>
          <w:color w:val="000000"/>
          <w:sz w:val="24"/>
          <w:szCs w:val="24"/>
        </w:rPr>
        <w:t xml:space="preserve">33). There is no “gulf” left. As these statements make clear, the social is more than a third realm alongside the public and the private. Rather it destroys them, “devours” them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45). She speaks of the “liquidation” of the private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61). </w:t>
      </w:r>
    </w:p>
    <w:p w14:paraId="1FDE2AB7" w14:textId="77777777" w:rsidR="00C83328"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The destructiveness of the social is </w:t>
      </w:r>
      <w:r w:rsidR="009417A8">
        <w:rPr>
          <w:rStyle w:val="HTMLTypewriter"/>
          <w:rFonts w:ascii="Times New Roman" w:hAnsi="Times New Roman"/>
          <w:color w:val="000000"/>
          <w:sz w:val="24"/>
          <w:szCs w:val="24"/>
        </w:rPr>
        <w:t xml:space="preserve">a </w:t>
      </w:r>
      <w:r w:rsidR="005A0217" w:rsidRPr="00E41015">
        <w:rPr>
          <w:rStyle w:val="HTMLTypewriter"/>
          <w:rFonts w:ascii="Times New Roman" w:hAnsi="Times New Roman"/>
          <w:color w:val="000000"/>
          <w:sz w:val="24"/>
          <w:szCs w:val="24"/>
        </w:rPr>
        <w:t>result of</w:t>
      </w:r>
      <w:r w:rsidRPr="00E41015">
        <w:rPr>
          <w:rStyle w:val="HTMLTypewriter"/>
          <w:rFonts w:ascii="Times New Roman" w:hAnsi="Times New Roman"/>
          <w:color w:val="000000"/>
          <w:sz w:val="24"/>
          <w:szCs w:val="24"/>
        </w:rPr>
        <w:t xml:space="preserve"> activities belonging to the private moving into the public realm, the rise of “matters pertaining formerly to the private sphere of the family” into the public realm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33)</w:t>
      </w:r>
      <w:r w:rsidR="00D51E23">
        <w:rPr>
          <w:rStyle w:val="HTMLTypewriter"/>
          <w:rFonts w:ascii="Times New Roman" w:hAnsi="Times New Roman"/>
          <w:color w:val="000000"/>
          <w:sz w:val="24"/>
          <w:szCs w:val="24"/>
        </w:rPr>
        <w:t>, resulting in a situation “where the main public realm is society” (203).</w:t>
      </w:r>
      <w:r w:rsidRPr="00E41015">
        <w:rPr>
          <w:rStyle w:val="HTMLTypewriter"/>
          <w:rFonts w:ascii="Times New Roman" w:hAnsi="Times New Roman"/>
          <w:color w:val="000000"/>
          <w:sz w:val="24"/>
          <w:szCs w:val="24"/>
        </w:rPr>
        <w:t>. This is the burden of section #6, entitled “the rise of the social.”</w:t>
      </w:r>
      <w:r w:rsidR="00C83328">
        <w:rPr>
          <w:rStyle w:val="HTMLTypewriter"/>
          <w:rFonts w:ascii="Times New Roman" w:hAnsi="Times New Roman"/>
          <w:color w:val="000000"/>
          <w:sz w:val="24"/>
          <w:szCs w:val="24"/>
        </w:rPr>
        <w:t xml:space="preserve"> There are three dimensions to this “rise”</w:t>
      </w:r>
      <w:r w:rsidRPr="00E41015">
        <w:rPr>
          <w:rStyle w:val="HTMLTypewriter"/>
          <w:rFonts w:ascii="Times New Roman" w:hAnsi="Times New Roman"/>
          <w:color w:val="000000"/>
          <w:sz w:val="24"/>
          <w:szCs w:val="24"/>
        </w:rPr>
        <w:t xml:space="preserve"> </w:t>
      </w:r>
      <w:r w:rsidR="00C83328">
        <w:rPr>
          <w:rStyle w:val="HTMLTypewriter"/>
          <w:rFonts w:ascii="Times New Roman" w:hAnsi="Times New Roman"/>
          <w:color w:val="000000"/>
          <w:sz w:val="24"/>
          <w:szCs w:val="24"/>
        </w:rPr>
        <w:t>of the social, or labor. One is hierarchical, a rise up the ladder of esteem. A second is topological, a move from one realm to another, from the realm of the private to the realm of the public. A third is phen</w:t>
      </w:r>
      <w:r w:rsidR="008F76EC">
        <w:rPr>
          <w:rStyle w:val="HTMLTypewriter"/>
          <w:rFonts w:ascii="Times New Roman" w:hAnsi="Times New Roman"/>
          <w:color w:val="000000"/>
          <w:sz w:val="24"/>
          <w:szCs w:val="24"/>
        </w:rPr>
        <w:t>omenological, a rise from hidden</w:t>
      </w:r>
      <w:r w:rsidR="00C83328">
        <w:rPr>
          <w:rStyle w:val="HTMLTypewriter"/>
          <w:rFonts w:ascii="Times New Roman" w:hAnsi="Times New Roman"/>
          <w:color w:val="000000"/>
          <w:sz w:val="24"/>
          <w:szCs w:val="24"/>
        </w:rPr>
        <w:t>ness to visibility, to open public display.</w:t>
      </w:r>
    </w:p>
    <w:p w14:paraId="291980AE" w14:textId="77777777" w:rsidR="00090C41" w:rsidRPr="00E41015" w:rsidRDefault="00090C41" w:rsidP="00C83328">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One manifestation, which sounds very familiar in Bush’s America, is the assimilation of the nation-state to the model of the family, and the concomitant demand “that its members act as though they were members of one enormous family which has only one opinion and one interest”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39). </w:t>
      </w:r>
    </w:p>
    <w:p w14:paraId="526A50A7" w14:textId="77777777" w:rsidR="00090C41" w:rsidRPr="00E41015" w:rsidRDefault="00090C41">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It is th</w:t>
      </w:r>
      <w:r w:rsidR="005A0217" w:rsidRPr="00E41015">
        <w:rPr>
          <w:rStyle w:val="HTMLTypewriter"/>
          <w:rFonts w:ascii="Times New Roman" w:hAnsi="Times New Roman"/>
          <w:color w:val="000000"/>
          <w:sz w:val="24"/>
          <w:szCs w:val="24"/>
        </w:rPr>
        <w:t>e</w:t>
      </w:r>
      <w:r w:rsidRPr="00E41015">
        <w:rPr>
          <w:rStyle w:val="HTMLTypewriter"/>
          <w:rFonts w:ascii="Times New Roman" w:hAnsi="Times New Roman"/>
          <w:color w:val="000000"/>
          <w:sz w:val="24"/>
          <w:szCs w:val="24"/>
        </w:rPr>
        <w:t xml:space="preserve"> wor</w:t>
      </w:r>
      <w:r w:rsidR="00420E14" w:rsidRPr="00E41015">
        <w:rPr>
          <w:rStyle w:val="HTMLTypewriter"/>
          <w:rFonts w:ascii="Times New Roman" w:hAnsi="Times New Roman"/>
          <w:color w:val="000000"/>
          <w:sz w:val="24"/>
          <w:szCs w:val="24"/>
        </w:rPr>
        <w:t>l</w:t>
      </w:r>
      <w:r w:rsidRPr="00E41015">
        <w:rPr>
          <w:rStyle w:val="HTMLTypewriter"/>
          <w:rFonts w:ascii="Times New Roman" w:hAnsi="Times New Roman"/>
          <w:color w:val="000000"/>
          <w:sz w:val="24"/>
          <w:szCs w:val="24"/>
        </w:rPr>
        <w:t xml:space="preserve">dly, collective, associative character of freedom (as action) that makes </w:t>
      </w:r>
      <w:r w:rsidRPr="00E41015">
        <w:rPr>
          <w:rStyle w:val="HTMLTypewriter"/>
          <w:rFonts w:ascii="Times New Roman" w:hAnsi="Times New Roman"/>
          <w:i/>
          <w:iCs/>
          <w:color w:val="000000"/>
          <w:sz w:val="24"/>
          <w:szCs w:val="24"/>
        </w:rPr>
        <w:t>The Human Condition</w:t>
      </w:r>
      <w:r w:rsidRPr="00E41015">
        <w:rPr>
          <w:rStyle w:val="HTMLTypewriter"/>
          <w:rFonts w:ascii="Times New Roman" w:hAnsi="Times New Roman"/>
          <w:color w:val="000000"/>
          <w:sz w:val="24"/>
          <w:szCs w:val="24"/>
        </w:rPr>
        <w:t xml:space="preserve"> indispensable today. It is this that is threatened by the collapse of collectivity into the all-consuming category of the social.  </w:t>
      </w:r>
      <w:r w:rsidR="00B37842">
        <w:rPr>
          <w:rStyle w:val="HTMLTypewriter"/>
          <w:rFonts w:ascii="Times New Roman" w:hAnsi="Times New Roman"/>
          <w:color w:val="000000"/>
          <w:sz w:val="24"/>
          <w:szCs w:val="24"/>
        </w:rPr>
        <w:t xml:space="preserve">The disorder is a </w:t>
      </w:r>
      <w:r w:rsidR="00B70A23">
        <w:rPr>
          <w:rStyle w:val="HTMLTypewriter"/>
          <w:rFonts w:ascii="Times New Roman" w:hAnsi="Times New Roman"/>
          <w:color w:val="000000"/>
          <w:sz w:val="24"/>
          <w:szCs w:val="24"/>
        </w:rPr>
        <w:t>malady</w:t>
      </w:r>
      <w:r w:rsidR="00B37842">
        <w:rPr>
          <w:rStyle w:val="HTMLTypewriter"/>
          <w:rFonts w:ascii="Times New Roman" w:hAnsi="Times New Roman"/>
          <w:color w:val="000000"/>
          <w:sz w:val="24"/>
          <w:szCs w:val="24"/>
        </w:rPr>
        <w:t xml:space="preserve"> of categories and concepts. </w:t>
      </w:r>
      <w:r w:rsidRPr="00E41015">
        <w:rPr>
          <w:rStyle w:val="HTMLTypewriter"/>
          <w:rFonts w:ascii="Times New Roman" w:hAnsi="Times New Roman"/>
          <w:color w:val="000000"/>
          <w:sz w:val="24"/>
          <w:szCs w:val="24"/>
        </w:rPr>
        <w:t xml:space="preserve">It is the fight against </w:t>
      </w:r>
      <w:r w:rsidR="00B37842">
        <w:rPr>
          <w:rStyle w:val="HTMLTypewriter"/>
          <w:rFonts w:ascii="Times New Roman" w:hAnsi="Times New Roman"/>
          <w:color w:val="000000"/>
          <w:sz w:val="24"/>
          <w:szCs w:val="24"/>
        </w:rPr>
        <w:t>a</w:t>
      </w:r>
      <w:r w:rsidRPr="00E41015">
        <w:rPr>
          <w:rStyle w:val="HTMLTypewriter"/>
          <w:rFonts w:ascii="Times New Roman" w:hAnsi="Times New Roman"/>
          <w:color w:val="000000"/>
          <w:sz w:val="24"/>
          <w:szCs w:val="24"/>
        </w:rPr>
        <w:t xml:space="preserve"> monist reducti</w:t>
      </w:r>
      <w:r w:rsidR="003031B6">
        <w:rPr>
          <w:rStyle w:val="HTMLTypewriter"/>
          <w:rFonts w:ascii="Times New Roman" w:hAnsi="Times New Roman"/>
          <w:color w:val="000000"/>
          <w:sz w:val="24"/>
          <w:szCs w:val="24"/>
        </w:rPr>
        <w:t>on</w:t>
      </w:r>
      <w:r w:rsidRPr="00E41015">
        <w:rPr>
          <w:rStyle w:val="HTMLTypewriter"/>
          <w:rFonts w:ascii="Times New Roman" w:hAnsi="Times New Roman"/>
          <w:color w:val="000000"/>
          <w:sz w:val="24"/>
          <w:szCs w:val="24"/>
        </w:rPr>
        <w:t xml:space="preserve"> of vocabulary and thought that fuels Arendt’s implacable train of thought directed to recovering and rectifying the richness of our heritage of collective concepts and experiences in this difficult, tightly argued chapter. </w:t>
      </w:r>
    </w:p>
    <w:p w14:paraId="53A4EE68" w14:textId="77777777" w:rsidR="00090C41"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In the next three chapters (chapters three, four, and five), Arendt elaborates on the relationships between labor, work, and action introduced in chapter one, and on their relationship to the world, introduced in chapter two. </w:t>
      </w:r>
    </w:p>
    <w:p w14:paraId="795B0084" w14:textId="77777777" w:rsidR="00090C41" w:rsidRDefault="00090C41">
      <w:pPr>
        <w:rPr>
          <w:rStyle w:val="HTMLTypewriter"/>
          <w:rFonts w:ascii="Times New Roman" w:hAnsi="Times New Roman"/>
          <w:color w:val="000000"/>
          <w:sz w:val="24"/>
          <w:szCs w:val="24"/>
        </w:rPr>
      </w:pPr>
    </w:p>
    <w:p w14:paraId="332FC802" w14:textId="77777777" w:rsidR="0034109D" w:rsidRPr="00E41015" w:rsidRDefault="0034109D">
      <w:pPr>
        <w:rPr>
          <w:rStyle w:val="HTMLTypewriter"/>
          <w:rFonts w:ascii="Times New Roman" w:hAnsi="Times New Roman"/>
          <w:color w:val="000000"/>
          <w:sz w:val="24"/>
          <w:szCs w:val="24"/>
        </w:rPr>
      </w:pPr>
    </w:p>
    <w:p w14:paraId="4B18B889" w14:textId="77777777" w:rsidR="00361ADB" w:rsidRPr="0034109D" w:rsidRDefault="00361ADB">
      <w:pPr>
        <w:rPr>
          <w:rStyle w:val="HTMLTypewriter"/>
          <w:rFonts w:ascii="Times New Roman" w:hAnsi="Times New Roman"/>
          <w:b/>
          <w:color w:val="000000"/>
          <w:sz w:val="24"/>
          <w:szCs w:val="24"/>
        </w:rPr>
      </w:pPr>
      <w:r w:rsidRPr="0034109D">
        <w:rPr>
          <w:rStyle w:val="HTMLTypewriter"/>
          <w:rFonts w:ascii="Times New Roman" w:hAnsi="Times New Roman"/>
          <w:b/>
          <w:color w:val="000000"/>
          <w:sz w:val="24"/>
          <w:szCs w:val="24"/>
        </w:rPr>
        <w:lastRenderedPageBreak/>
        <w:t>Chapter Three</w:t>
      </w:r>
      <w:r w:rsidR="00791426">
        <w:rPr>
          <w:rStyle w:val="FootnoteReference"/>
          <w:b/>
          <w:color w:val="000000"/>
        </w:rPr>
        <w:footnoteReference w:id="9"/>
      </w:r>
    </w:p>
    <w:p w14:paraId="0E6C485F" w14:textId="77777777" w:rsidR="00361ADB" w:rsidRPr="00E41015" w:rsidRDefault="00361ADB">
      <w:pPr>
        <w:rPr>
          <w:rStyle w:val="HTMLTypewriter"/>
          <w:rFonts w:ascii="Times New Roman" w:hAnsi="Times New Roman"/>
          <w:color w:val="000000"/>
          <w:sz w:val="24"/>
          <w:szCs w:val="24"/>
        </w:rPr>
      </w:pPr>
    </w:p>
    <w:p w14:paraId="6B212DDD" w14:textId="77777777" w:rsidR="00985142" w:rsidRPr="00E41015" w:rsidRDefault="00090C4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613152">
        <w:rPr>
          <w:rStyle w:val="HTMLTypewriter"/>
          <w:rFonts w:ascii="Times New Roman" w:hAnsi="Times New Roman"/>
          <w:color w:val="000000"/>
          <w:sz w:val="24"/>
          <w:szCs w:val="24"/>
        </w:rPr>
        <w:t>If chapter two is about place, chapter three is about process.</w:t>
      </w:r>
      <w:r w:rsidR="00613152">
        <w:rPr>
          <w:rStyle w:val="FootnoteReference"/>
          <w:color w:val="000000"/>
        </w:rPr>
        <w:footnoteReference w:id="10"/>
      </w:r>
      <w:r w:rsidR="00613152">
        <w:rPr>
          <w:rStyle w:val="HTMLTypewriter"/>
          <w:rFonts w:ascii="Times New Roman" w:hAnsi="Times New Roman"/>
          <w:color w:val="000000"/>
          <w:sz w:val="24"/>
          <w:szCs w:val="24"/>
        </w:rPr>
        <w:t xml:space="preserve"> Labor is a process, work produces a world, labor is cyclical, work is a linear means-end phenomenon. </w:t>
      </w:r>
      <w:r w:rsidRPr="00E41015">
        <w:rPr>
          <w:rStyle w:val="HTMLTypewriter"/>
          <w:rFonts w:ascii="Times New Roman" w:hAnsi="Times New Roman"/>
          <w:color w:val="000000"/>
          <w:sz w:val="24"/>
          <w:szCs w:val="24"/>
        </w:rPr>
        <w:t>The central point o</w:t>
      </w:r>
      <w:r w:rsidR="00613152">
        <w:rPr>
          <w:rStyle w:val="HTMLTypewriter"/>
          <w:rFonts w:ascii="Times New Roman" w:hAnsi="Times New Roman"/>
          <w:color w:val="000000"/>
          <w:sz w:val="24"/>
          <w:szCs w:val="24"/>
        </w:rPr>
        <w:t>f chapter three is the victory</w:t>
      </w:r>
      <w:r w:rsidRPr="00E41015">
        <w:rPr>
          <w:rStyle w:val="HTMLTypewriter"/>
          <w:rFonts w:ascii="Times New Roman" w:hAnsi="Times New Roman"/>
          <w:color w:val="000000"/>
          <w:sz w:val="24"/>
          <w:szCs w:val="24"/>
        </w:rPr>
        <w:t xml:space="preserve"> of </w:t>
      </w:r>
      <w:r w:rsidR="00613152">
        <w:rPr>
          <w:rStyle w:val="HTMLTypewriter"/>
          <w:rFonts w:ascii="Times New Roman" w:hAnsi="Times New Roman"/>
          <w:color w:val="000000"/>
          <w:sz w:val="24"/>
          <w:szCs w:val="24"/>
        </w:rPr>
        <w:t xml:space="preserve">the processes of </w:t>
      </w:r>
      <w:r w:rsidRPr="00E41015">
        <w:rPr>
          <w:rStyle w:val="HTMLTypewriter"/>
          <w:rFonts w:ascii="Times New Roman" w:hAnsi="Times New Roman"/>
          <w:color w:val="000000"/>
          <w:sz w:val="24"/>
          <w:szCs w:val="24"/>
        </w:rPr>
        <w:t xml:space="preserve">labor over </w:t>
      </w:r>
      <w:r w:rsidR="00613152">
        <w:rPr>
          <w:rStyle w:val="HTMLTypewriter"/>
          <w:rFonts w:ascii="Times New Roman" w:hAnsi="Times New Roman"/>
          <w:color w:val="000000"/>
          <w:sz w:val="24"/>
          <w:szCs w:val="24"/>
        </w:rPr>
        <w:t xml:space="preserve">the world of </w:t>
      </w:r>
      <w:r w:rsidRPr="00E41015">
        <w:rPr>
          <w:rStyle w:val="HTMLTypewriter"/>
          <w:rFonts w:ascii="Times New Roman" w:hAnsi="Times New Roman"/>
          <w:color w:val="000000"/>
          <w:sz w:val="24"/>
          <w:szCs w:val="24"/>
        </w:rPr>
        <w:t xml:space="preserve">work and action, “the sudden, spectacular rise of labor from the lowest, most despised position to the highest rank, as the most esteemed of all activities”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101). Entailed in this reversal is the sacrifice of </w:t>
      </w:r>
      <w:r w:rsidR="00833D5C" w:rsidRPr="00E41015">
        <w:rPr>
          <w:rStyle w:val="HTMLTypewriter"/>
          <w:rFonts w:ascii="Times New Roman" w:hAnsi="Times New Roman"/>
          <w:color w:val="000000"/>
          <w:sz w:val="24"/>
          <w:szCs w:val="24"/>
        </w:rPr>
        <w:t xml:space="preserve">permanence, stability, and durability, </w:t>
      </w:r>
      <w:r w:rsidRPr="00E41015">
        <w:rPr>
          <w:rStyle w:val="HTMLTypewriter"/>
          <w:rFonts w:ascii="Times New Roman" w:hAnsi="Times New Roman"/>
          <w:color w:val="000000"/>
          <w:sz w:val="24"/>
          <w:szCs w:val="24"/>
        </w:rPr>
        <w:t xml:space="preserve">the ideals of </w:t>
      </w:r>
      <w:r w:rsidRPr="00E41015">
        <w:rPr>
          <w:rStyle w:val="HTMLTypewriter"/>
          <w:rFonts w:ascii="Times New Roman" w:hAnsi="Times New Roman"/>
          <w:i/>
          <w:iCs/>
          <w:color w:val="000000"/>
          <w:sz w:val="24"/>
          <w:szCs w:val="24"/>
        </w:rPr>
        <w:t>homo faber</w:t>
      </w:r>
      <w:r w:rsidRPr="00E41015">
        <w:rPr>
          <w:rStyle w:val="HTMLTypewriter"/>
          <w:rFonts w:ascii="Times New Roman" w:hAnsi="Times New Roman"/>
          <w:color w:val="000000"/>
          <w:sz w:val="24"/>
          <w:szCs w:val="24"/>
        </w:rPr>
        <w:t xml:space="preserve">, to </w:t>
      </w:r>
      <w:r w:rsidR="00833D5C" w:rsidRPr="00E41015">
        <w:rPr>
          <w:rStyle w:val="HTMLTypewriter"/>
          <w:rFonts w:ascii="Times New Roman" w:hAnsi="Times New Roman"/>
          <w:color w:val="000000"/>
          <w:sz w:val="24"/>
          <w:szCs w:val="24"/>
        </w:rPr>
        <w:t xml:space="preserve">abundance, the ideal of </w:t>
      </w:r>
      <w:r w:rsidR="000F58DD" w:rsidRPr="00E41015">
        <w:rPr>
          <w:rStyle w:val="HTMLTypewriter"/>
          <w:rFonts w:ascii="Times New Roman" w:hAnsi="Times New Roman"/>
          <w:color w:val="000000"/>
          <w:sz w:val="24"/>
          <w:szCs w:val="24"/>
        </w:rPr>
        <w:t xml:space="preserve">labor </w:t>
      </w:r>
      <w:r w:rsidRPr="00E41015">
        <w:rPr>
          <w:rStyle w:val="HTMLTypewriter"/>
          <w:rFonts w:ascii="Times New Roman" w:hAnsi="Times New Roman"/>
          <w:color w:val="000000"/>
          <w:sz w:val="24"/>
          <w:szCs w:val="24"/>
        </w:rPr>
        <w:t xml:space="preserve">(126), and the “occupation” of the public realm by labor in the form of mass culture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134). </w:t>
      </w:r>
      <w:r w:rsidR="00985142" w:rsidRPr="00E41015">
        <w:rPr>
          <w:rStyle w:val="HTMLTypewriter"/>
          <w:rFonts w:ascii="Times New Roman" w:hAnsi="Times New Roman"/>
          <w:color w:val="000000"/>
          <w:sz w:val="24"/>
          <w:szCs w:val="24"/>
        </w:rPr>
        <w:tab/>
      </w:r>
    </w:p>
    <w:p w14:paraId="72E970D1" w14:textId="77777777" w:rsidR="009325DE" w:rsidRPr="00E41015" w:rsidRDefault="00090C41" w:rsidP="009325DE">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Her analysis takes the form of a critique of the labor theory of Marx in particular, but also of Locke and Adam Smith. The central criticism of all three is their failure to distinguish between labor and work. </w:t>
      </w:r>
      <w:r w:rsidR="009325DE" w:rsidRPr="00E41015">
        <w:rPr>
          <w:rStyle w:val="HTMLTypewriter"/>
          <w:rFonts w:ascii="Times New Roman" w:hAnsi="Times New Roman"/>
          <w:color w:val="000000"/>
          <w:sz w:val="24"/>
          <w:szCs w:val="24"/>
        </w:rPr>
        <w:t>As she points out at the outset,</w:t>
      </w:r>
      <w:r w:rsidR="00F564B6" w:rsidRPr="00E41015">
        <w:rPr>
          <w:rStyle w:val="HTMLTypewriter"/>
          <w:rFonts w:ascii="Times New Roman" w:hAnsi="Times New Roman"/>
          <w:color w:val="000000"/>
          <w:sz w:val="24"/>
          <w:szCs w:val="24"/>
        </w:rPr>
        <w:t xml:space="preserve"> this distinction is “unusual” </w:t>
      </w:r>
      <w:r w:rsidR="00B938DE" w:rsidRPr="00E41015">
        <w:rPr>
          <w:rStyle w:val="HTMLTypewriter"/>
          <w:rFonts w:ascii="Times New Roman" w:hAnsi="Times New Roman"/>
          <w:color w:val="000000"/>
          <w:sz w:val="24"/>
          <w:szCs w:val="24"/>
        </w:rPr>
        <w:t>(</w:t>
      </w:r>
      <w:r w:rsidR="009325DE" w:rsidRPr="00E41015">
        <w:rPr>
          <w:rStyle w:val="HTMLTypewriter"/>
          <w:rFonts w:ascii="Times New Roman" w:hAnsi="Times New Roman"/>
          <w:color w:val="000000"/>
          <w:sz w:val="24"/>
          <w:szCs w:val="24"/>
        </w:rPr>
        <w:t xml:space="preserve">79). It was “ignored in classical antiquity” </w:t>
      </w:r>
      <w:r w:rsidR="005F7438" w:rsidRPr="00E41015">
        <w:rPr>
          <w:rStyle w:val="HTMLTypewriter"/>
          <w:rFonts w:ascii="Times New Roman" w:hAnsi="Times New Roman"/>
          <w:color w:val="000000"/>
          <w:sz w:val="24"/>
          <w:szCs w:val="24"/>
        </w:rPr>
        <w:t>(</w:t>
      </w:r>
      <w:r w:rsidR="009325DE" w:rsidRPr="00E41015">
        <w:rPr>
          <w:rStyle w:val="HTMLTypewriter"/>
          <w:rFonts w:ascii="Times New Roman" w:hAnsi="Times New Roman"/>
          <w:color w:val="000000"/>
          <w:sz w:val="24"/>
          <w:szCs w:val="24"/>
        </w:rPr>
        <w:t xml:space="preserve">85), and the modern age has not produced a single theory in which the two are clearly distinguished. </w:t>
      </w:r>
      <w:r w:rsidR="006C0C69">
        <w:rPr>
          <w:rStyle w:val="HTMLTypewriter"/>
          <w:rFonts w:ascii="Times New Roman" w:hAnsi="Times New Roman"/>
          <w:color w:val="000000"/>
          <w:sz w:val="24"/>
          <w:szCs w:val="24"/>
        </w:rPr>
        <w:t>Her insistence on the distinction is just o</w:t>
      </w:r>
      <w:r w:rsidR="009325DE" w:rsidRPr="00E41015">
        <w:rPr>
          <w:rStyle w:val="HTMLTypewriter"/>
          <w:rFonts w:ascii="Times New Roman" w:hAnsi="Times New Roman"/>
          <w:color w:val="000000"/>
          <w:sz w:val="24"/>
          <w:szCs w:val="24"/>
        </w:rPr>
        <w:t xml:space="preserve">ne indication of the originality and unconventionality of her thought. </w:t>
      </w:r>
    </w:p>
    <w:p w14:paraId="0099F399" w14:textId="77777777" w:rsidR="00197274" w:rsidRDefault="009325DE" w:rsidP="009325DE">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What then is the difference? </w:t>
      </w:r>
      <w:r w:rsidR="00A20152">
        <w:rPr>
          <w:rStyle w:val="HTMLTypewriter"/>
          <w:rFonts w:ascii="Times New Roman" w:hAnsi="Times New Roman"/>
          <w:color w:val="000000"/>
          <w:sz w:val="24"/>
          <w:szCs w:val="24"/>
        </w:rPr>
        <w:t>It</w:t>
      </w:r>
      <w:r w:rsidR="00A20152" w:rsidRPr="00E41015">
        <w:rPr>
          <w:rStyle w:val="HTMLTypewriter"/>
          <w:rFonts w:ascii="Times New Roman" w:hAnsi="Times New Roman"/>
          <w:color w:val="000000"/>
          <w:sz w:val="24"/>
          <w:szCs w:val="24"/>
        </w:rPr>
        <w:t xml:space="preserve"> rests on “the worldly character of the produced thing – its location, function, and length of stay in the world” (94). </w:t>
      </w:r>
      <w:r w:rsidRPr="00E41015">
        <w:rPr>
          <w:rStyle w:val="HTMLTypewriter"/>
          <w:rFonts w:ascii="Times New Roman" w:hAnsi="Times New Roman"/>
          <w:color w:val="000000"/>
          <w:sz w:val="24"/>
          <w:szCs w:val="24"/>
        </w:rPr>
        <w:t xml:space="preserve">In sections # 11, 12, and 13 of chapter three, she works out the distinction. </w:t>
      </w:r>
    </w:p>
    <w:p w14:paraId="2D22D6D3" w14:textId="77777777" w:rsidR="00613152" w:rsidRPr="00E41015" w:rsidRDefault="00090C41" w:rsidP="00613152">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Work prod</w:t>
      </w:r>
      <w:r w:rsidR="009325DE" w:rsidRPr="00E41015">
        <w:rPr>
          <w:rStyle w:val="HTMLTypewriter"/>
          <w:rFonts w:ascii="Times New Roman" w:hAnsi="Times New Roman"/>
          <w:color w:val="000000"/>
          <w:sz w:val="24"/>
          <w:szCs w:val="24"/>
        </w:rPr>
        <w:t>uc</w:t>
      </w:r>
      <w:r w:rsidR="00D3209C">
        <w:rPr>
          <w:rStyle w:val="HTMLTypewriter"/>
          <w:rFonts w:ascii="Times New Roman" w:hAnsi="Times New Roman"/>
          <w:color w:val="000000"/>
          <w:sz w:val="24"/>
          <w:szCs w:val="24"/>
        </w:rPr>
        <w:t xml:space="preserve">es durable things. </w:t>
      </w:r>
      <w:r w:rsidR="00197274">
        <w:rPr>
          <w:rStyle w:val="HTMLTypewriter"/>
          <w:rFonts w:ascii="Times New Roman" w:hAnsi="Times New Roman"/>
          <w:color w:val="000000"/>
          <w:sz w:val="24"/>
          <w:szCs w:val="24"/>
        </w:rPr>
        <w:t xml:space="preserve">What labor produces </w:t>
      </w:r>
      <w:r w:rsidR="008824ED">
        <w:rPr>
          <w:rStyle w:val="HTMLTypewriter"/>
          <w:rFonts w:ascii="Times New Roman" w:hAnsi="Times New Roman"/>
          <w:color w:val="000000"/>
          <w:sz w:val="24"/>
          <w:szCs w:val="24"/>
        </w:rPr>
        <w:t>is consumer goods</w:t>
      </w:r>
      <w:r w:rsidR="006C0C69" w:rsidRPr="00E41015">
        <w:rPr>
          <w:rStyle w:val="HTMLTypewriter"/>
          <w:rFonts w:ascii="Times New Roman" w:hAnsi="Times New Roman"/>
          <w:color w:val="000000"/>
          <w:sz w:val="24"/>
          <w:szCs w:val="24"/>
        </w:rPr>
        <w:t xml:space="preserve">. </w:t>
      </w:r>
      <w:r w:rsidR="00613152" w:rsidRPr="00E41015">
        <w:rPr>
          <w:rStyle w:val="HTMLTypewriter"/>
          <w:rFonts w:ascii="Times New Roman" w:hAnsi="Times New Roman"/>
          <w:color w:val="000000"/>
          <w:sz w:val="24"/>
          <w:szCs w:val="24"/>
        </w:rPr>
        <w:t xml:space="preserve">“Considered in their worldliness, they are the least worldly” of all things (96). The “futility” of the endless cycle of life at the level of subsistence labor contrasts with the lasting, solid stability of “the human artifice, the world of things. </w:t>
      </w:r>
    </w:p>
    <w:p w14:paraId="2C9836DE" w14:textId="77777777" w:rsidR="00090C41" w:rsidRPr="00E41015" w:rsidRDefault="00D3209C" w:rsidP="009325DE">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Labor is part of a </w:t>
      </w:r>
      <w:r w:rsidR="000534AF">
        <w:rPr>
          <w:rStyle w:val="HTMLTypewriter"/>
          <w:rFonts w:ascii="Times New Roman" w:hAnsi="Times New Roman"/>
          <w:color w:val="000000"/>
          <w:sz w:val="24"/>
          <w:szCs w:val="24"/>
        </w:rPr>
        <w:t>process</w:t>
      </w:r>
      <w:r>
        <w:rPr>
          <w:rStyle w:val="HTMLTypewriter"/>
          <w:rFonts w:ascii="Times New Roman" w:hAnsi="Times New Roman"/>
          <w:color w:val="000000"/>
          <w:sz w:val="24"/>
          <w:szCs w:val="24"/>
        </w:rPr>
        <w:t xml:space="preserve"> of fertility and consumption that </w:t>
      </w:r>
      <w:r w:rsidR="00090C41" w:rsidRPr="00E41015">
        <w:rPr>
          <w:rStyle w:val="HTMLTypewriter"/>
          <w:rFonts w:ascii="Times New Roman" w:hAnsi="Times New Roman"/>
          <w:color w:val="000000"/>
          <w:sz w:val="24"/>
          <w:szCs w:val="24"/>
        </w:rPr>
        <w:t xml:space="preserve">“leaves nothing behind” </w:t>
      </w:r>
      <w:r w:rsidR="005F7438" w:rsidRPr="00E41015">
        <w:rPr>
          <w:rStyle w:val="HTMLTypewriter"/>
          <w:rFonts w:ascii="Times New Roman" w:hAnsi="Times New Roman"/>
          <w:color w:val="000000"/>
          <w:sz w:val="24"/>
          <w:szCs w:val="24"/>
        </w:rPr>
        <w:t>(</w:t>
      </w:r>
      <w:r w:rsidR="00090C41" w:rsidRPr="00E41015">
        <w:rPr>
          <w:rStyle w:val="HTMLTypewriter"/>
          <w:rFonts w:ascii="Times New Roman" w:hAnsi="Times New Roman"/>
          <w:color w:val="000000"/>
          <w:sz w:val="24"/>
          <w:szCs w:val="24"/>
        </w:rPr>
        <w:t xml:space="preserve">87). The products of work “guarantee the permanence and </w:t>
      </w:r>
      <w:r w:rsidR="009D2798" w:rsidRPr="00E41015">
        <w:rPr>
          <w:rStyle w:val="HTMLTypewriter"/>
          <w:rFonts w:ascii="Times New Roman" w:hAnsi="Times New Roman"/>
          <w:color w:val="000000"/>
          <w:sz w:val="24"/>
          <w:szCs w:val="24"/>
        </w:rPr>
        <w:t>dur</w:t>
      </w:r>
      <w:r w:rsidR="00090C41" w:rsidRPr="00E41015">
        <w:rPr>
          <w:rStyle w:val="HTMLTypewriter"/>
          <w:rFonts w:ascii="Times New Roman" w:hAnsi="Times New Roman"/>
          <w:color w:val="000000"/>
          <w:sz w:val="24"/>
          <w:szCs w:val="24"/>
        </w:rPr>
        <w:t xml:space="preserve">ability without which a world would not be possible” </w:t>
      </w:r>
      <w:r w:rsidR="005F7438" w:rsidRPr="00E41015">
        <w:rPr>
          <w:rStyle w:val="HTMLTypewriter"/>
          <w:rFonts w:ascii="Times New Roman" w:hAnsi="Times New Roman"/>
          <w:color w:val="000000"/>
          <w:sz w:val="24"/>
          <w:szCs w:val="24"/>
        </w:rPr>
        <w:t>(</w:t>
      </w:r>
      <w:r w:rsidR="00090C41" w:rsidRPr="00E41015">
        <w:rPr>
          <w:rStyle w:val="HTMLTypewriter"/>
          <w:rFonts w:ascii="Times New Roman" w:hAnsi="Times New Roman"/>
          <w:color w:val="000000"/>
          <w:sz w:val="24"/>
          <w:szCs w:val="24"/>
        </w:rPr>
        <w:t xml:space="preserve">94). What she refers to as “the thing-character” of the world is the result of work. </w:t>
      </w:r>
      <w:r>
        <w:rPr>
          <w:rStyle w:val="HTMLTypewriter"/>
          <w:rFonts w:ascii="Times New Roman" w:hAnsi="Times New Roman"/>
          <w:color w:val="000000"/>
          <w:sz w:val="24"/>
          <w:szCs w:val="24"/>
        </w:rPr>
        <w:t>From t</w:t>
      </w:r>
      <w:r w:rsidR="000534AF">
        <w:rPr>
          <w:rStyle w:val="HTMLTypewriter"/>
          <w:rFonts w:ascii="Times New Roman" w:hAnsi="Times New Roman"/>
          <w:color w:val="000000"/>
          <w:sz w:val="24"/>
          <w:szCs w:val="24"/>
        </w:rPr>
        <w:t>he point of view of the dynamic</w:t>
      </w:r>
      <w:r>
        <w:rPr>
          <w:rStyle w:val="HTMLTypewriter"/>
          <w:rFonts w:ascii="Times New Roman" w:hAnsi="Times New Roman"/>
          <w:color w:val="000000"/>
          <w:sz w:val="24"/>
          <w:szCs w:val="24"/>
        </w:rPr>
        <w:t xml:space="preserve"> growth processes of labor durability stands for “the ‘dead’ permanence of a common world” (110).</w:t>
      </w:r>
      <w:r w:rsidR="00317ABE" w:rsidRPr="00E41015">
        <w:rPr>
          <w:rStyle w:val="HTMLTypewriter"/>
          <w:rFonts w:ascii="Times New Roman" w:hAnsi="Times New Roman"/>
          <w:color w:val="000000"/>
          <w:sz w:val="24"/>
          <w:szCs w:val="24"/>
        </w:rPr>
        <w:t xml:space="preserve"> </w:t>
      </w:r>
      <w:r w:rsidR="00317ABE">
        <w:rPr>
          <w:rStyle w:val="HTMLTypewriter"/>
          <w:rFonts w:ascii="Times New Roman" w:hAnsi="Times New Roman"/>
          <w:color w:val="000000"/>
          <w:sz w:val="24"/>
          <w:szCs w:val="24"/>
        </w:rPr>
        <w:t xml:space="preserve"> </w:t>
      </w:r>
    </w:p>
    <w:p w14:paraId="667DBC4C" w14:textId="77777777" w:rsidR="00090C41" w:rsidRPr="00E41015" w:rsidRDefault="00E77BF2" w:rsidP="00E77BF2">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F</w:t>
      </w:r>
      <w:r w:rsidR="00090C41" w:rsidRPr="00E41015">
        <w:rPr>
          <w:rStyle w:val="HTMLTypewriter"/>
          <w:rFonts w:ascii="Times New Roman" w:hAnsi="Times New Roman"/>
          <w:color w:val="000000"/>
          <w:sz w:val="24"/>
          <w:szCs w:val="24"/>
        </w:rPr>
        <w:t>rom the vantage point of th</w:t>
      </w:r>
      <w:r w:rsidR="00A718ED" w:rsidRPr="00E41015">
        <w:rPr>
          <w:rStyle w:val="HTMLTypewriter"/>
          <w:rFonts w:ascii="Times New Roman" w:hAnsi="Times New Roman"/>
          <w:color w:val="000000"/>
          <w:sz w:val="24"/>
          <w:szCs w:val="24"/>
        </w:rPr>
        <w:t>is</w:t>
      </w:r>
      <w:r w:rsidR="00090C41" w:rsidRPr="00E41015">
        <w:rPr>
          <w:rStyle w:val="HTMLTypewriter"/>
          <w:rFonts w:ascii="Times New Roman" w:hAnsi="Times New Roman"/>
          <w:color w:val="000000"/>
          <w:sz w:val="24"/>
          <w:szCs w:val="24"/>
        </w:rPr>
        <w:t xml:space="preserve"> distinction, she turns, in section #14, to consider modern labor theories which, starting with Locke’s view that “labor is the source of all property,” proceeding with Adam Smith’s </w:t>
      </w:r>
      <w:r w:rsidR="00870491" w:rsidRPr="00E41015">
        <w:rPr>
          <w:rStyle w:val="HTMLTypewriter"/>
          <w:rFonts w:ascii="Times New Roman" w:hAnsi="Times New Roman"/>
          <w:color w:val="000000"/>
          <w:sz w:val="24"/>
          <w:szCs w:val="24"/>
        </w:rPr>
        <w:t>assertion</w:t>
      </w:r>
      <w:r w:rsidR="00090C41" w:rsidRPr="00E41015">
        <w:rPr>
          <w:rStyle w:val="HTMLTypewriter"/>
          <w:rFonts w:ascii="Times New Roman" w:hAnsi="Times New Roman"/>
          <w:color w:val="000000"/>
          <w:sz w:val="24"/>
          <w:szCs w:val="24"/>
        </w:rPr>
        <w:t xml:space="preserve"> that “labor was the source of all wealth,” reached its culmi</w:t>
      </w:r>
      <w:r w:rsidR="00D53CFB" w:rsidRPr="00E41015">
        <w:rPr>
          <w:rStyle w:val="HTMLTypewriter"/>
          <w:rFonts w:ascii="Times New Roman" w:hAnsi="Times New Roman"/>
          <w:color w:val="000000"/>
          <w:sz w:val="24"/>
          <w:szCs w:val="24"/>
        </w:rPr>
        <w:t>n</w:t>
      </w:r>
      <w:r w:rsidR="00090C41" w:rsidRPr="00E41015">
        <w:rPr>
          <w:rStyle w:val="HTMLTypewriter"/>
          <w:rFonts w:ascii="Times New Roman" w:hAnsi="Times New Roman"/>
          <w:color w:val="000000"/>
          <w:sz w:val="24"/>
          <w:szCs w:val="24"/>
        </w:rPr>
        <w:t xml:space="preserve">ation in Marx’s theory of labor, according to which “labor </w:t>
      </w:r>
      <w:r w:rsidR="00090C41" w:rsidRPr="00E41015">
        <w:rPr>
          <w:rStyle w:val="HTMLTypewriter"/>
          <w:rFonts w:ascii="Times New Roman" w:hAnsi="Times New Roman"/>
          <w:color w:val="000000"/>
          <w:sz w:val="24"/>
          <w:szCs w:val="24"/>
        </w:rPr>
        <w:lastRenderedPageBreak/>
        <w:t xml:space="preserve">became the source of all productivity and </w:t>
      </w:r>
      <w:r w:rsidR="00090C41" w:rsidRPr="00E41015">
        <w:rPr>
          <w:rStyle w:val="HTMLTypewriter"/>
          <w:rFonts w:ascii="Times New Roman" w:hAnsi="Times New Roman"/>
          <w:color w:val="000000"/>
          <w:sz w:val="24"/>
          <w:szCs w:val="24"/>
          <w:u w:val="single"/>
        </w:rPr>
        <w:t>the expression of the very humanity of man</w:t>
      </w:r>
      <w:r w:rsidR="00090C41" w:rsidRPr="00E41015">
        <w:rPr>
          <w:rStyle w:val="HTMLTypewriter"/>
          <w:rFonts w:ascii="Times New Roman" w:hAnsi="Times New Roman"/>
          <w:color w:val="000000"/>
          <w:sz w:val="24"/>
          <w:szCs w:val="24"/>
        </w:rPr>
        <w:t xml:space="preserve">” </w:t>
      </w:r>
      <w:r w:rsidR="005F7438" w:rsidRPr="00E41015">
        <w:rPr>
          <w:rStyle w:val="HTMLTypewriter"/>
          <w:rFonts w:ascii="Times New Roman" w:hAnsi="Times New Roman"/>
          <w:color w:val="000000"/>
          <w:sz w:val="24"/>
          <w:szCs w:val="24"/>
        </w:rPr>
        <w:t>(</w:t>
      </w:r>
      <w:r w:rsidR="00090C41" w:rsidRPr="00E41015">
        <w:rPr>
          <w:rStyle w:val="HTMLTypewriter"/>
          <w:rFonts w:ascii="Times New Roman" w:hAnsi="Times New Roman"/>
          <w:color w:val="000000"/>
          <w:sz w:val="24"/>
          <w:szCs w:val="24"/>
        </w:rPr>
        <w:t xml:space="preserve">101).  At the same time, in flat contradiction, Marx looked forward to the day when labor is abolished. “The realm of freedom,” according to Marx, “begins only where labor … ceases” </w:t>
      </w:r>
      <w:r w:rsidR="005F7438" w:rsidRPr="00E41015">
        <w:rPr>
          <w:rStyle w:val="HTMLTypewriter"/>
          <w:rFonts w:ascii="Times New Roman" w:hAnsi="Times New Roman"/>
          <w:color w:val="000000"/>
          <w:sz w:val="24"/>
          <w:szCs w:val="24"/>
        </w:rPr>
        <w:t>(</w:t>
      </w:r>
      <w:r w:rsidR="00090C41" w:rsidRPr="00E41015">
        <w:rPr>
          <w:rStyle w:val="HTMLTypewriter"/>
          <w:rFonts w:ascii="Times New Roman" w:hAnsi="Times New Roman"/>
          <w:color w:val="000000"/>
          <w:sz w:val="24"/>
          <w:szCs w:val="24"/>
        </w:rPr>
        <w:t xml:space="preserve">104). If labor is the expression of man’s very humanity it can hardly be dispensed with when man is fulfilled. In Arendt’s view, this oft-noted contradiction, and the related ones found in Locke and Smith, are due in part to their failure to recognize the distinction between labor and work, and are therefore evidence in support of the need for the distinction she introduces between the kinds of activities. </w:t>
      </w:r>
    </w:p>
    <w:p w14:paraId="00ADA969" w14:textId="77777777" w:rsidR="00D53CFB" w:rsidRPr="00E41015" w:rsidRDefault="00E5261E">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D53CFB" w:rsidRPr="00E41015">
        <w:rPr>
          <w:rStyle w:val="HTMLTypewriter"/>
          <w:rFonts w:ascii="Times New Roman" w:hAnsi="Times New Roman"/>
          <w:color w:val="000000"/>
          <w:sz w:val="24"/>
          <w:szCs w:val="24"/>
        </w:rPr>
        <w:t xml:space="preserve">The entrance of labor into the public realm destroys </w:t>
      </w:r>
      <w:r w:rsidR="00F6590D" w:rsidRPr="00E41015">
        <w:rPr>
          <w:rStyle w:val="HTMLTypewriter"/>
          <w:rFonts w:ascii="Times New Roman" w:hAnsi="Times New Roman"/>
          <w:color w:val="000000"/>
          <w:sz w:val="24"/>
          <w:szCs w:val="24"/>
        </w:rPr>
        <w:t xml:space="preserve">it. But </w:t>
      </w:r>
      <w:r w:rsidR="00D53CFB" w:rsidRPr="00E41015">
        <w:rPr>
          <w:rStyle w:val="HTMLTypewriter"/>
          <w:rFonts w:ascii="Times New Roman" w:hAnsi="Times New Roman"/>
          <w:color w:val="000000"/>
          <w:sz w:val="24"/>
          <w:szCs w:val="24"/>
        </w:rPr>
        <w:t xml:space="preserve">it </w:t>
      </w:r>
      <w:r w:rsidR="00F6590D" w:rsidRPr="00E41015">
        <w:rPr>
          <w:rStyle w:val="HTMLTypewriter"/>
          <w:rFonts w:ascii="Times New Roman" w:hAnsi="Times New Roman"/>
          <w:color w:val="000000"/>
          <w:sz w:val="24"/>
          <w:szCs w:val="24"/>
        </w:rPr>
        <w:t>destroys</w:t>
      </w:r>
      <w:r w:rsidR="00D53CFB" w:rsidRPr="00E41015">
        <w:rPr>
          <w:rStyle w:val="HTMLTypewriter"/>
          <w:rFonts w:ascii="Times New Roman" w:hAnsi="Times New Roman"/>
          <w:color w:val="000000"/>
          <w:sz w:val="24"/>
          <w:szCs w:val="24"/>
        </w:rPr>
        <w:t xml:space="preserve"> the private realm as well </w:t>
      </w:r>
      <w:r w:rsidR="005F7438" w:rsidRPr="00E41015">
        <w:rPr>
          <w:rStyle w:val="HTMLTypewriter"/>
          <w:rFonts w:ascii="Times New Roman" w:hAnsi="Times New Roman"/>
          <w:color w:val="000000"/>
          <w:sz w:val="24"/>
          <w:szCs w:val="24"/>
        </w:rPr>
        <w:t>(</w:t>
      </w:r>
      <w:r w:rsidR="00D53CFB" w:rsidRPr="00E41015">
        <w:rPr>
          <w:rStyle w:val="HTMLTypewriter"/>
          <w:rFonts w:ascii="Times New Roman" w:hAnsi="Times New Roman"/>
          <w:color w:val="000000"/>
          <w:sz w:val="24"/>
          <w:szCs w:val="24"/>
        </w:rPr>
        <w:t>59). The overt attack on private property in Marxism is the obvious instance of this. Acco</w:t>
      </w:r>
      <w:r w:rsidR="00952584">
        <w:rPr>
          <w:rStyle w:val="HTMLTypewriter"/>
          <w:rFonts w:ascii="Times New Roman" w:hAnsi="Times New Roman"/>
          <w:color w:val="000000"/>
          <w:sz w:val="24"/>
          <w:szCs w:val="24"/>
        </w:rPr>
        <w:t xml:space="preserve">rding to Arendt, however, </w:t>
      </w:r>
      <w:r w:rsidR="00D53CFB" w:rsidRPr="00E41015">
        <w:rPr>
          <w:rStyle w:val="HTMLTypewriter"/>
          <w:rFonts w:ascii="Times New Roman" w:hAnsi="Times New Roman"/>
          <w:color w:val="000000"/>
          <w:sz w:val="24"/>
          <w:szCs w:val="24"/>
        </w:rPr>
        <w:t>capitalism</w:t>
      </w:r>
      <w:r w:rsidR="00952584">
        <w:rPr>
          <w:rStyle w:val="HTMLTypewriter"/>
          <w:rFonts w:ascii="Times New Roman" w:hAnsi="Times New Roman"/>
          <w:color w:val="000000"/>
          <w:sz w:val="24"/>
          <w:szCs w:val="24"/>
        </w:rPr>
        <w:t xml:space="preserve"> is also hostile to private property</w:t>
      </w:r>
      <w:r w:rsidR="00D53CFB" w:rsidRPr="00E41015">
        <w:rPr>
          <w:rStyle w:val="HTMLTypewriter"/>
          <w:rFonts w:ascii="Times New Roman" w:hAnsi="Times New Roman"/>
          <w:color w:val="000000"/>
          <w:sz w:val="24"/>
          <w:szCs w:val="24"/>
        </w:rPr>
        <w:t xml:space="preserve">! In other words, in direct contradiction to the assumption that private property is one of the pillars of capitalism, Arendt claims that capitalism is built on the </w:t>
      </w:r>
      <w:r w:rsidR="00D53CFB" w:rsidRPr="00E41015">
        <w:rPr>
          <w:rStyle w:val="HTMLTypewriter"/>
          <w:rFonts w:ascii="Times New Roman" w:hAnsi="Times New Roman"/>
          <w:color w:val="000000"/>
          <w:sz w:val="24"/>
          <w:szCs w:val="24"/>
          <w:u w:val="single"/>
        </w:rPr>
        <w:t>sacrifice</w:t>
      </w:r>
      <w:r w:rsidR="00D53CFB" w:rsidRPr="00E41015">
        <w:rPr>
          <w:rStyle w:val="HTMLTypewriter"/>
          <w:rFonts w:ascii="Times New Roman" w:hAnsi="Times New Roman"/>
          <w:color w:val="000000"/>
          <w:sz w:val="24"/>
          <w:szCs w:val="24"/>
        </w:rPr>
        <w:t xml:space="preserve"> of private property for the sake of the accumulation of wealth. “The enormous and still proceeding accumulation of wealth in modern society, which was started by expropriation . . . has never shown much consideration for private property but has sacrificed it whenever it came into conflict with the accumulation of wealth” </w:t>
      </w:r>
      <w:r w:rsidR="005F7438" w:rsidRPr="00E41015">
        <w:rPr>
          <w:rStyle w:val="HTMLTypewriter"/>
          <w:rFonts w:ascii="Times New Roman" w:hAnsi="Times New Roman"/>
          <w:color w:val="000000"/>
          <w:sz w:val="24"/>
          <w:szCs w:val="24"/>
        </w:rPr>
        <w:t>(</w:t>
      </w:r>
      <w:r w:rsidR="00D53CFB" w:rsidRPr="00E41015">
        <w:rPr>
          <w:rStyle w:val="HTMLTypewriter"/>
          <w:rFonts w:ascii="Times New Roman" w:hAnsi="Times New Roman"/>
          <w:color w:val="000000"/>
          <w:sz w:val="24"/>
          <w:szCs w:val="24"/>
        </w:rPr>
        <w:t>66, 67)</w:t>
      </w:r>
    </w:p>
    <w:p w14:paraId="2148CB55" w14:textId="77777777" w:rsidR="00090C41" w:rsidRPr="00E41015" w:rsidRDefault="006A7FD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Here is another critical distinction, between wealth and property. “Far from being the same,” she contends, they are “of an entirely different nature”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61). What is the difference? The crucial differences concerns permanence or durability. Wealth accumulation in capitalism is a </w:t>
      </w:r>
      <w:r w:rsidRPr="00E41015">
        <w:rPr>
          <w:rStyle w:val="HTMLTypewriter"/>
          <w:rFonts w:ascii="Times New Roman" w:hAnsi="Times New Roman"/>
          <w:color w:val="000000"/>
          <w:sz w:val="24"/>
          <w:szCs w:val="24"/>
          <w:u w:val="single"/>
        </w:rPr>
        <w:t>process</w:t>
      </w:r>
      <w:r w:rsidRPr="00E41015">
        <w:rPr>
          <w:rStyle w:val="HTMLTypewriter"/>
          <w:rFonts w:ascii="Times New Roman" w:hAnsi="Times New Roman"/>
          <w:color w:val="000000"/>
          <w:sz w:val="24"/>
          <w:szCs w:val="24"/>
        </w:rPr>
        <w:t xml:space="preserve">, a cancer-like growth that is at war with the stability of a world, at war with “the permanence of a stable structure” such as represented by property. The themes of durability and permanence lead into the discussion of work in chapter four. </w:t>
      </w:r>
    </w:p>
    <w:p w14:paraId="00AD397A" w14:textId="77777777" w:rsidR="006A7FD1" w:rsidRPr="00E41015" w:rsidRDefault="006A7FD1">
      <w:pPr>
        <w:rPr>
          <w:rStyle w:val="HTMLTypewriter"/>
          <w:rFonts w:ascii="Times New Roman" w:hAnsi="Times New Roman"/>
          <w:color w:val="000000"/>
          <w:sz w:val="24"/>
          <w:szCs w:val="24"/>
        </w:rPr>
      </w:pPr>
    </w:p>
    <w:p w14:paraId="1082A1C7" w14:textId="77777777" w:rsidR="006A7FD1" w:rsidRPr="0034109D" w:rsidRDefault="006A7FD1">
      <w:pPr>
        <w:rPr>
          <w:rStyle w:val="HTMLTypewriter"/>
          <w:rFonts w:ascii="Times New Roman" w:hAnsi="Times New Roman"/>
          <w:b/>
          <w:color w:val="000000"/>
          <w:sz w:val="24"/>
          <w:szCs w:val="24"/>
        </w:rPr>
      </w:pPr>
      <w:r w:rsidRPr="0034109D">
        <w:rPr>
          <w:rStyle w:val="HTMLTypewriter"/>
          <w:rFonts w:ascii="Times New Roman" w:hAnsi="Times New Roman"/>
          <w:b/>
          <w:color w:val="000000"/>
          <w:sz w:val="24"/>
          <w:szCs w:val="24"/>
        </w:rPr>
        <w:t>Chapter Four</w:t>
      </w:r>
    </w:p>
    <w:p w14:paraId="7E84FDB5" w14:textId="77777777" w:rsidR="006A7FD1" w:rsidRPr="00E41015" w:rsidRDefault="006A7FD1">
      <w:pPr>
        <w:rPr>
          <w:rStyle w:val="HTMLTypewriter"/>
          <w:rFonts w:ascii="Times New Roman" w:hAnsi="Times New Roman"/>
          <w:color w:val="000000"/>
          <w:sz w:val="24"/>
          <w:szCs w:val="24"/>
        </w:rPr>
      </w:pPr>
    </w:p>
    <w:p w14:paraId="4F061578" w14:textId="77777777" w:rsidR="006A7FD1" w:rsidRPr="00E41015" w:rsidRDefault="006A7FD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In Arendt’s exposition of work, one part, sections #18, 19, and 23, spell out what work constitutes positively for the human condition, namely, the permanence and durability of the world of things, without which action could not “appear.” </w:t>
      </w:r>
      <w:r w:rsidR="00870491" w:rsidRPr="00E41015">
        <w:rPr>
          <w:rStyle w:val="HTMLTypewriter"/>
          <w:rFonts w:ascii="Times New Roman" w:hAnsi="Times New Roman"/>
          <w:color w:val="000000"/>
          <w:sz w:val="24"/>
          <w:szCs w:val="24"/>
        </w:rPr>
        <w:t xml:space="preserve">The other part, sections #20, #21, and #22, spell out why work cannot be the measure of what it means to be human. </w:t>
      </w:r>
      <w:r w:rsidRPr="00E41015">
        <w:rPr>
          <w:rStyle w:val="HTMLTypewriter"/>
          <w:rFonts w:ascii="Times New Roman" w:hAnsi="Times New Roman"/>
          <w:color w:val="000000"/>
          <w:sz w:val="24"/>
          <w:szCs w:val="24"/>
        </w:rPr>
        <w:t xml:space="preserve">The logic of the chapter is to be found in the effort to sort out and assign due meaning to man as maker, </w:t>
      </w:r>
      <w:r w:rsidRPr="00E41015">
        <w:rPr>
          <w:rStyle w:val="HTMLTypewriter"/>
          <w:rFonts w:ascii="Times New Roman" w:hAnsi="Times New Roman"/>
          <w:i/>
          <w:color w:val="000000"/>
          <w:sz w:val="24"/>
          <w:szCs w:val="24"/>
        </w:rPr>
        <w:t>homo faber</w:t>
      </w:r>
      <w:r w:rsidRPr="00E41015">
        <w:rPr>
          <w:rStyle w:val="HTMLTypewriter"/>
          <w:rFonts w:ascii="Times New Roman" w:hAnsi="Times New Roman"/>
          <w:color w:val="000000"/>
          <w:sz w:val="24"/>
          <w:szCs w:val="24"/>
        </w:rPr>
        <w:t xml:space="preserve">, to specify </w:t>
      </w:r>
      <w:r w:rsidR="001E353A">
        <w:rPr>
          <w:rStyle w:val="HTMLTypewriter"/>
          <w:rFonts w:ascii="Times New Roman" w:hAnsi="Times New Roman"/>
          <w:color w:val="000000"/>
          <w:sz w:val="24"/>
          <w:szCs w:val="24"/>
        </w:rPr>
        <w:t xml:space="preserve">both </w:t>
      </w:r>
      <w:r w:rsidRPr="00E41015">
        <w:rPr>
          <w:rStyle w:val="HTMLTypewriter"/>
          <w:rFonts w:ascii="Times New Roman" w:hAnsi="Times New Roman"/>
          <w:color w:val="000000"/>
          <w:sz w:val="24"/>
          <w:szCs w:val="24"/>
        </w:rPr>
        <w:t xml:space="preserve">the indispensability and the limits of work. </w:t>
      </w:r>
    </w:p>
    <w:p w14:paraId="37727B14" w14:textId="77777777" w:rsidR="008D165D" w:rsidRPr="00E41015" w:rsidRDefault="006A7FD1">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EA4CF0" w:rsidRPr="00E41015">
        <w:rPr>
          <w:rStyle w:val="HTMLTypewriter"/>
          <w:rFonts w:ascii="Times New Roman" w:hAnsi="Times New Roman"/>
          <w:color w:val="000000"/>
          <w:sz w:val="24"/>
          <w:szCs w:val="24"/>
        </w:rPr>
        <w:t>Just as chapter three took the form of a cri</w:t>
      </w:r>
      <w:r w:rsidR="00870491" w:rsidRPr="00E41015">
        <w:rPr>
          <w:rStyle w:val="HTMLTypewriter"/>
          <w:rFonts w:ascii="Times New Roman" w:hAnsi="Times New Roman"/>
          <w:color w:val="000000"/>
          <w:sz w:val="24"/>
          <w:szCs w:val="24"/>
        </w:rPr>
        <w:t>tique of Marxism and capitalism,</w:t>
      </w:r>
      <w:r w:rsidR="00EA4CF0" w:rsidRPr="00E41015">
        <w:rPr>
          <w:rStyle w:val="HTMLTypewriter"/>
          <w:rFonts w:ascii="Times New Roman" w:hAnsi="Times New Roman"/>
          <w:color w:val="000000"/>
          <w:sz w:val="24"/>
          <w:szCs w:val="24"/>
        </w:rPr>
        <w:t xml:space="preserve"> t</w:t>
      </w:r>
      <w:r w:rsidRPr="00E41015">
        <w:rPr>
          <w:rStyle w:val="HTMLTypewriter"/>
          <w:rFonts w:ascii="Times New Roman" w:hAnsi="Times New Roman"/>
          <w:color w:val="000000"/>
          <w:sz w:val="24"/>
          <w:szCs w:val="24"/>
        </w:rPr>
        <w:t xml:space="preserve">he analysis of the limits of work to define the humanness of man takes the form of a critique of </w:t>
      </w:r>
      <w:r w:rsidR="00870491" w:rsidRPr="00E41015">
        <w:rPr>
          <w:rStyle w:val="HTMLTypewriter"/>
          <w:rFonts w:ascii="Times New Roman" w:hAnsi="Times New Roman"/>
          <w:color w:val="000000"/>
          <w:sz w:val="24"/>
          <w:szCs w:val="24"/>
        </w:rPr>
        <w:t>utilitarianism, which</w:t>
      </w:r>
      <w:r w:rsidR="00EA4CF0" w:rsidRPr="00E41015">
        <w:rPr>
          <w:rStyle w:val="HTMLTypewriter"/>
          <w:rFonts w:ascii="Times New Roman" w:hAnsi="Times New Roman"/>
          <w:color w:val="000000"/>
          <w:sz w:val="24"/>
          <w:szCs w:val="24"/>
        </w:rPr>
        <w:t xml:space="preserve"> she considers “the consequence of seeing in </w:t>
      </w:r>
      <w:r w:rsidR="00EA4CF0" w:rsidRPr="00E41015">
        <w:rPr>
          <w:rStyle w:val="HTMLTypewriter"/>
          <w:rFonts w:ascii="Times New Roman" w:hAnsi="Times New Roman"/>
          <w:i/>
          <w:color w:val="000000"/>
          <w:sz w:val="24"/>
          <w:szCs w:val="24"/>
        </w:rPr>
        <w:t>homo faber</w:t>
      </w:r>
      <w:r w:rsidR="00EA4CF0" w:rsidRPr="00E41015">
        <w:rPr>
          <w:rStyle w:val="HTMLTypewriter"/>
          <w:rFonts w:ascii="Times New Roman" w:hAnsi="Times New Roman"/>
          <w:color w:val="000000"/>
          <w:sz w:val="24"/>
          <w:szCs w:val="24"/>
        </w:rPr>
        <w:t xml:space="preserve"> the highest human possibility” </w:t>
      </w:r>
      <w:r w:rsidR="005F7438" w:rsidRPr="00E41015">
        <w:rPr>
          <w:rStyle w:val="HTMLTypewriter"/>
          <w:rFonts w:ascii="Times New Roman" w:hAnsi="Times New Roman"/>
          <w:color w:val="000000"/>
          <w:sz w:val="24"/>
          <w:szCs w:val="24"/>
        </w:rPr>
        <w:t>(</w:t>
      </w:r>
      <w:r w:rsidR="00EA4CF0" w:rsidRPr="00E41015">
        <w:rPr>
          <w:rStyle w:val="HTMLTypewriter"/>
          <w:rFonts w:ascii="Times New Roman" w:hAnsi="Times New Roman"/>
          <w:color w:val="000000"/>
          <w:sz w:val="24"/>
          <w:szCs w:val="24"/>
        </w:rPr>
        <w:t xml:space="preserve">157). </w:t>
      </w:r>
    </w:p>
    <w:p w14:paraId="3DE889FA" w14:textId="77777777" w:rsidR="008D165D" w:rsidRPr="00E41015" w:rsidRDefault="008D165D" w:rsidP="008D165D">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The chapter also includes a critique of what happens when the public realm becomes the exchange market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160), when “the exchange market is the most important public place”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165). In such a society “everything becomes an exchangeable value, a commodity.” In such an associational space, “no absolute value exists” (. 165). In a society ruled by man as fabricator, “whose whole activity is determined by the constant use of yardsticks, measurements, rules, and standards,” the los</w:t>
      </w:r>
      <w:r w:rsidR="009F506B" w:rsidRPr="00E41015">
        <w:rPr>
          <w:rStyle w:val="HTMLTypewriter"/>
          <w:rFonts w:ascii="Times New Roman" w:hAnsi="Times New Roman"/>
          <w:color w:val="000000"/>
          <w:sz w:val="24"/>
          <w:szCs w:val="24"/>
        </w:rPr>
        <w:t>s</w:t>
      </w:r>
      <w:r w:rsidRPr="00E41015">
        <w:rPr>
          <w:rStyle w:val="HTMLTypewriter"/>
          <w:rFonts w:ascii="Times New Roman" w:hAnsi="Times New Roman"/>
          <w:color w:val="000000"/>
          <w:sz w:val="24"/>
          <w:szCs w:val="24"/>
        </w:rPr>
        <w:t xml:space="preserve"> of standards is unbearable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166). Without standards and universal rules </w:t>
      </w:r>
      <w:r w:rsidR="009F506B"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no world could ever be erected by man”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166). </w:t>
      </w:r>
    </w:p>
    <w:p w14:paraId="1D022240" w14:textId="77777777" w:rsidR="00266B0E" w:rsidRPr="00E41015" w:rsidRDefault="00266B0E" w:rsidP="00266B0E">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lastRenderedPageBreak/>
        <w:t xml:space="preserve">As in chapter three, Arendt pursues two trains of thought, one critical, one constructive. The positive argument </w:t>
      </w:r>
      <w:r w:rsidR="00870491" w:rsidRPr="00E41015">
        <w:rPr>
          <w:rStyle w:val="HTMLTypewriter"/>
          <w:rFonts w:ascii="Times New Roman" w:hAnsi="Times New Roman"/>
          <w:color w:val="000000"/>
          <w:sz w:val="24"/>
          <w:szCs w:val="24"/>
        </w:rPr>
        <w:t>concerns</w:t>
      </w:r>
      <w:r w:rsidRPr="00E41015">
        <w:rPr>
          <w:rStyle w:val="HTMLTypewriter"/>
          <w:rFonts w:ascii="Times New Roman" w:hAnsi="Times New Roman"/>
          <w:color w:val="000000"/>
          <w:sz w:val="24"/>
          <w:szCs w:val="24"/>
        </w:rPr>
        <w:t xml:space="preserve"> the need to make a world. “The man-made world of things, the human artifice erected by </w:t>
      </w:r>
      <w:r w:rsidRPr="00E41015">
        <w:rPr>
          <w:rStyle w:val="HTMLTypewriter"/>
          <w:rFonts w:ascii="Times New Roman" w:hAnsi="Times New Roman"/>
          <w:i/>
          <w:color w:val="000000"/>
          <w:sz w:val="24"/>
          <w:szCs w:val="24"/>
        </w:rPr>
        <w:t>homo faber</w:t>
      </w:r>
      <w:r w:rsidRPr="00E41015">
        <w:rPr>
          <w:rStyle w:val="HTMLTypewriter"/>
          <w:rFonts w:ascii="Times New Roman" w:hAnsi="Times New Roman"/>
          <w:color w:val="000000"/>
          <w:sz w:val="24"/>
          <w:szCs w:val="24"/>
        </w:rPr>
        <w:t xml:space="preserve">, becomes a home for mortal men, whose </w:t>
      </w:r>
      <w:r w:rsidR="00870491" w:rsidRPr="00E41015">
        <w:rPr>
          <w:rStyle w:val="HTMLTypewriter"/>
          <w:rFonts w:ascii="Times New Roman" w:hAnsi="Times New Roman"/>
          <w:color w:val="000000"/>
          <w:sz w:val="24"/>
          <w:szCs w:val="24"/>
        </w:rPr>
        <w:t>stability</w:t>
      </w:r>
      <w:r w:rsidRPr="00E41015">
        <w:rPr>
          <w:rStyle w:val="HTMLTypewriter"/>
          <w:rFonts w:ascii="Times New Roman" w:hAnsi="Times New Roman"/>
          <w:color w:val="000000"/>
          <w:sz w:val="24"/>
          <w:szCs w:val="24"/>
        </w:rPr>
        <w:t xml:space="preserve"> will endure and outlast the ever-changing moment of their lives and actions, only insomuch as it transcends both the sheer functionalism of things produced for consumption and the sheer utility of objects produced for use”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173). </w:t>
      </w:r>
      <w:r w:rsidR="002B205C">
        <w:rPr>
          <w:rStyle w:val="FootnoteReference"/>
          <w:color w:val="000000"/>
        </w:rPr>
        <w:footnoteReference w:id="11"/>
      </w:r>
    </w:p>
    <w:p w14:paraId="75E8B056" w14:textId="77777777" w:rsidR="009F506B" w:rsidRPr="00E41015" w:rsidRDefault="009F506B" w:rsidP="008D165D">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The negative </w:t>
      </w:r>
      <w:r w:rsidR="00266B0E" w:rsidRPr="00E41015">
        <w:rPr>
          <w:rStyle w:val="HTMLTypewriter"/>
          <w:rFonts w:ascii="Times New Roman" w:hAnsi="Times New Roman"/>
          <w:color w:val="000000"/>
          <w:sz w:val="24"/>
          <w:szCs w:val="24"/>
        </w:rPr>
        <w:t xml:space="preserve">argument concerns </w:t>
      </w:r>
      <w:r w:rsidRPr="00E41015">
        <w:rPr>
          <w:rStyle w:val="HTMLTypewriter"/>
          <w:rFonts w:ascii="Times New Roman" w:hAnsi="Times New Roman"/>
          <w:color w:val="000000"/>
          <w:sz w:val="24"/>
          <w:szCs w:val="24"/>
        </w:rPr>
        <w:t xml:space="preserve">the limits and inadequacies of </w:t>
      </w:r>
      <w:r w:rsidR="00870491" w:rsidRPr="00E41015">
        <w:rPr>
          <w:rStyle w:val="HTMLTypewriter"/>
          <w:rFonts w:ascii="Times New Roman" w:hAnsi="Times New Roman"/>
          <w:color w:val="000000"/>
          <w:sz w:val="24"/>
          <w:szCs w:val="24"/>
        </w:rPr>
        <w:t>utilitarianism</w:t>
      </w:r>
      <w:r w:rsidRPr="00E41015">
        <w:rPr>
          <w:rStyle w:val="HTMLTypewriter"/>
          <w:rFonts w:ascii="Times New Roman" w:hAnsi="Times New Roman"/>
          <w:color w:val="000000"/>
          <w:sz w:val="24"/>
          <w:szCs w:val="24"/>
        </w:rPr>
        <w:t xml:space="preserve"> and consumer ideals, judged against the need to make a world. </w:t>
      </w:r>
    </w:p>
    <w:p w14:paraId="7AC1D132" w14:textId="77777777" w:rsidR="00090C41" w:rsidRPr="00E41015" w:rsidRDefault="009F506B" w:rsidP="00D93903">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The note on which the chapter ends is the need of acting and speaking men</w:t>
      </w:r>
      <w:r w:rsidR="00DC52D7" w:rsidRPr="00E41015">
        <w:rPr>
          <w:rStyle w:val="HTMLTypewriter"/>
          <w:rFonts w:ascii="Times New Roman" w:hAnsi="Times New Roman"/>
          <w:color w:val="000000"/>
          <w:sz w:val="24"/>
          <w:szCs w:val="24"/>
        </w:rPr>
        <w:t xml:space="preserve"> (the subject of the next chapter)</w:t>
      </w:r>
      <w:r w:rsidRPr="00E41015">
        <w:rPr>
          <w:rStyle w:val="HTMLTypewriter"/>
          <w:rFonts w:ascii="Times New Roman" w:hAnsi="Times New Roman"/>
          <w:color w:val="000000"/>
          <w:sz w:val="24"/>
          <w:szCs w:val="24"/>
        </w:rPr>
        <w:t xml:space="preserve"> for the help of man as fabricator</w:t>
      </w:r>
      <w:r w:rsidR="00D93903" w:rsidRPr="00E41015">
        <w:rPr>
          <w:rStyle w:val="HTMLTypewriter"/>
          <w:rFonts w:ascii="Times New Roman" w:hAnsi="Times New Roman"/>
          <w:color w:val="000000"/>
          <w:sz w:val="24"/>
          <w:szCs w:val="24"/>
        </w:rPr>
        <w:t xml:space="preserve"> (the subject of this chapter)</w:t>
      </w:r>
      <w:r w:rsidRPr="00E41015">
        <w:rPr>
          <w:rStyle w:val="HTMLTypewriter"/>
          <w:rFonts w:ascii="Times New Roman" w:hAnsi="Times New Roman"/>
          <w:color w:val="000000"/>
          <w:sz w:val="24"/>
          <w:szCs w:val="24"/>
        </w:rPr>
        <w:t xml:space="preserve"> “in his highest capacity,” that is, “the help of the artist, of poets, historiographers, of monument-builders or writers, because without them the only product of their activity, the story they enact and tell, would not </w:t>
      </w:r>
      <w:r w:rsidR="00D93903" w:rsidRPr="00E41015">
        <w:rPr>
          <w:rStyle w:val="HTMLTypewriter"/>
          <w:rFonts w:ascii="Times New Roman" w:hAnsi="Times New Roman"/>
          <w:color w:val="000000"/>
          <w:sz w:val="24"/>
          <w:szCs w:val="24"/>
        </w:rPr>
        <w:t xml:space="preserve">survive at all” </w:t>
      </w:r>
      <w:r w:rsidR="005F7438" w:rsidRPr="00E41015">
        <w:rPr>
          <w:rStyle w:val="HTMLTypewriter"/>
          <w:rFonts w:ascii="Times New Roman" w:hAnsi="Times New Roman"/>
          <w:color w:val="000000"/>
          <w:sz w:val="24"/>
          <w:szCs w:val="24"/>
        </w:rPr>
        <w:t>(</w:t>
      </w:r>
      <w:r w:rsidR="00D93903" w:rsidRPr="00E41015">
        <w:rPr>
          <w:rStyle w:val="HTMLTypewriter"/>
          <w:rFonts w:ascii="Times New Roman" w:hAnsi="Times New Roman"/>
          <w:color w:val="000000"/>
          <w:sz w:val="24"/>
          <w:szCs w:val="24"/>
        </w:rPr>
        <w:t xml:space="preserve">173). In other words, there are two distinct ways in which work is necessary to action, two ways in which man as actor is dependent upon man as fabricator. One is the enduring world. But within this world of objects, things, works, the “work of art”, the story, holds a particular place, as spelled out in the next chapter. </w:t>
      </w:r>
    </w:p>
    <w:p w14:paraId="7883520A" w14:textId="77777777" w:rsidR="00090C41" w:rsidRPr="00E41015" w:rsidRDefault="00090C41">
      <w:pPr>
        <w:rPr>
          <w:rStyle w:val="HTMLTypewriter"/>
          <w:rFonts w:ascii="Times New Roman" w:hAnsi="Times New Roman"/>
          <w:color w:val="000000"/>
          <w:sz w:val="24"/>
          <w:szCs w:val="24"/>
        </w:rPr>
      </w:pPr>
    </w:p>
    <w:p w14:paraId="60EF329B" w14:textId="77777777" w:rsidR="001D0CBC" w:rsidRPr="00E41015" w:rsidRDefault="002341A3">
      <w:pPr>
        <w:rPr>
          <w:rStyle w:val="HTMLTypewriter"/>
          <w:rFonts w:ascii="Times New Roman" w:hAnsi="Times New Roman"/>
          <w:color w:val="000000"/>
          <w:sz w:val="24"/>
          <w:szCs w:val="24"/>
        </w:rPr>
      </w:pPr>
      <w:r w:rsidRPr="0034109D">
        <w:rPr>
          <w:rStyle w:val="HTMLTypewriter"/>
          <w:rFonts w:ascii="Times New Roman" w:hAnsi="Times New Roman"/>
          <w:b/>
          <w:color w:val="000000"/>
          <w:sz w:val="24"/>
          <w:szCs w:val="24"/>
        </w:rPr>
        <w:t>Chapter Five</w:t>
      </w:r>
      <w:r w:rsidR="00443817">
        <w:rPr>
          <w:rStyle w:val="FootnoteReference"/>
          <w:color w:val="000000"/>
        </w:rPr>
        <w:footnoteReference w:id="12"/>
      </w:r>
    </w:p>
    <w:p w14:paraId="53755094" w14:textId="77777777" w:rsidR="002341A3" w:rsidRPr="00E41015" w:rsidRDefault="002341A3">
      <w:pPr>
        <w:rPr>
          <w:rStyle w:val="HTMLTypewriter"/>
          <w:rFonts w:ascii="Times New Roman" w:hAnsi="Times New Roman"/>
          <w:color w:val="000000"/>
          <w:sz w:val="24"/>
          <w:szCs w:val="24"/>
        </w:rPr>
      </w:pPr>
    </w:p>
    <w:p w14:paraId="56A129A9" w14:textId="77777777" w:rsidR="002341A3" w:rsidRPr="00E41015" w:rsidRDefault="002341A3">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The “frailty” of action, elaborated in chapter five, stands in stark contrast to the durability of the world of things produced by work. This frailty of the space of action is due in the first place to the fact that, “unlike the space</w:t>
      </w:r>
      <w:r w:rsidR="00631A3E" w:rsidRPr="00E41015">
        <w:rPr>
          <w:rStyle w:val="HTMLTypewriter"/>
          <w:rFonts w:ascii="Times New Roman" w:hAnsi="Times New Roman"/>
          <w:color w:val="000000"/>
          <w:sz w:val="24"/>
          <w:szCs w:val="24"/>
        </w:rPr>
        <w:t>s</w:t>
      </w:r>
      <w:r w:rsidRPr="00E41015">
        <w:rPr>
          <w:rStyle w:val="HTMLTypewriter"/>
          <w:rFonts w:ascii="Times New Roman" w:hAnsi="Times New Roman"/>
          <w:color w:val="000000"/>
          <w:sz w:val="24"/>
          <w:szCs w:val="24"/>
        </w:rPr>
        <w:t xml:space="preserve"> which are the work of our hands, it does not </w:t>
      </w:r>
      <w:r w:rsidR="00631A3E" w:rsidRPr="00E41015">
        <w:rPr>
          <w:rStyle w:val="HTMLTypewriter"/>
          <w:rFonts w:ascii="Times New Roman" w:hAnsi="Times New Roman"/>
          <w:color w:val="000000"/>
          <w:sz w:val="24"/>
          <w:szCs w:val="24"/>
        </w:rPr>
        <w:t xml:space="preserve">survive the actuality of the movement which brought it into being” and it disappears with the cessation of the activities themselves. To put it even more succinctly, “it exists only in its actualization” </w:t>
      </w:r>
      <w:r w:rsidR="005F7438" w:rsidRPr="00E41015">
        <w:rPr>
          <w:rStyle w:val="HTMLTypewriter"/>
          <w:rFonts w:ascii="Times New Roman" w:hAnsi="Times New Roman"/>
          <w:color w:val="000000"/>
          <w:sz w:val="24"/>
          <w:szCs w:val="24"/>
        </w:rPr>
        <w:t>(</w:t>
      </w:r>
      <w:r w:rsidR="00631A3E" w:rsidRPr="00E41015">
        <w:rPr>
          <w:rStyle w:val="HTMLTypewriter"/>
          <w:rFonts w:ascii="Times New Roman" w:hAnsi="Times New Roman"/>
          <w:color w:val="000000"/>
          <w:sz w:val="24"/>
          <w:szCs w:val="24"/>
        </w:rPr>
        <w:t xml:space="preserve">200, cf.  208). </w:t>
      </w:r>
    </w:p>
    <w:p w14:paraId="7FC827CF" w14:textId="77777777" w:rsidR="003A5945" w:rsidRDefault="00631A3E">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This feature of action, that it exists only in its actualization, is a consequence of what Arendt refers to as the intangibility of the disclosure of “who”a person is, the impossibility of solidifying in words the living essence of the person, or human nature.</w:t>
      </w:r>
    </w:p>
    <w:p w14:paraId="3CAC3439" w14:textId="77777777" w:rsidR="003A5945" w:rsidRPr="00E41015" w:rsidRDefault="003A5945">
      <w:pPr>
        <w:rPr>
          <w:rStyle w:val="HTMLTypewriter"/>
          <w:rFonts w:ascii="Times New Roman" w:hAnsi="Times New Roman"/>
          <w:color w:val="000000"/>
          <w:sz w:val="24"/>
          <w:szCs w:val="24"/>
        </w:rPr>
      </w:pPr>
      <w:r>
        <w:rPr>
          <w:rStyle w:val="HTMLTypewriter"/>
          <w:rFonts w:ascii="Times New Roman" w:hAnsi="Times New Roman"/>
          <w:color w:val="000000"/>
          <w:sz w:val="24"/>
          <w:szCs w:val="24"/>
        </w:rPr>
        <w:tab/>
        <w:t>Her approach here exhibits a care and delicacy like that of an archaeologist brushing away dirt and debris from an artifact buried in the earth, using only light pressure. At the same time, she keeps brushing persistently, over and over again, to reveal the features of the object so that it takes on its own distinctive form, one feature at a time. Arendt comes at personhood carefully, first from one side, then from another angle of vision. But there is also a relentlessness, an urgency, a driving force felt in apodictic pronouncement, paring away hesitation, qualification, a boldness that is disconcerting, and an economy of style that condenses utterances, giving her sentences a concentrated weight and mass that demands the reader slow down, give attention, and think what she reads.</w:t>
      </w:r>
      <w:r>
        <w:rPr>
          <w:rStyle w:val="FootnoteReference"/>
          <w:color w:val="000000"/>
        </w:rPr>
        <w:footnoteReference w:id="13"/>
      </w:r>
    </w:p>
    <w:p w14:paraId="355C4A7F" w14:textId="77777777" w:rsidR="00631A3E" w:rsidRPr="00E41015" w:rsidRDefault="00631A3E">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lastRenderedPageBreak/>
        <w:tab/>
        <w:t xml:space="preserve">Despite its intangibility, the disclosure of persons is </w:t>
      </w:r>
      <w:r w:rsidRPr="00E41015">
        <w:rPr>
          <w:rStyle w:val="HTMLTypewriter"/>
          <w:rFonts w:ascii="Times New Roman" w:hAnsi="Times New Roman"/>
          <w:color w:val="000000"/>
          <w:sz w:val="24"/>
          <w:szCs w:val="24"/>
          <w:u w:val="single"/>
        </w:rPr>
        <w:t>real</w:t>
      </w:r>
      <w:r w:rsidRPr="00E41015">
        <w:rPr>
          <w:rStyle w:val="HTMLTypewriter"/>
          <w:rFonts w:ascii="Times New Roman" w:hAnsi="Times New Roman"/>
          <w:color w:val="000000"/>
          <w:sz w:val="24"/>
          <w:szCs w:val="24"/>
        </w:rPr>
        <w:t xml:space="preserve">, no less real than the world of things. “The basic error of all materialism in politics … is to overlook the inevitability with which men disclose themselves as subjects, as distinct and unique persons …”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183). The metaphor of a “web” is used to capture both the intangible quality and the reality of human relationships. The web of human relationships is the “medium” in which action alone is real. </w:t>
      </w:r>
    </w:p>
    <w:p w14:paraId="30A2B12C" w14:textId="77777777" w:rsidR="00631A3E" w:rsidRPr="00E41015" w:rsidRDefault="00631A3E">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The reality of this “realm of human affairs” or web of human relationships is elaborated in terms of the concept of stories in a dense paragraph that is worth close attention, both because of its pivotal importance in the overall argument, and as an example of her method of description and argument. The paragr</w:t>
      </w:r>
      <w:r w:rsidR="00F564B6" w:rsidRPr="00E41015">
        <w:rPr>
          <w:rStyle w:val="HTMLTypewriter"/>
          <w:rFonts w:ascii="Times New Roman" w:hAnsi="Times New Roman"/>
          <w:color w:val="000000"/>
          <w:sz w:val="24"/>
          <w:szCs w:val="24"/>
        </w:rPr>
        <w:t>aph consists of ten sentences (</w:t>
      </w:r>
      <w:r w:rsidRPr="00E41015">
        <w:rPr>
          <w:rStyle w:val="HTMLTypewriter"/>
          <w:rFonts w:ascii="Times New Roman" w:hAnsi="Times New Roman"/>
          <w:color w:val="000000"/>
          <w:sz w:val="24"/>
          <w:szCs w:val="24"/>
        </w:rPr>
        <w:t xml:space="preserve">183-184). The first three sentences state the relationship between action and the web. The disclosure of the person in action “always falls into an already existing web,” starting a new process, which emerges as the unique life story of the newcomer. </w:t>
      </w:r>
      <w:r w:rsidR="003337B0" w:rsidRPr="00E41015">
        <w:rPr>
          <w:rStyle w:val="HTMLTypewriter"/>
          <w:rFonts w:ascii="Times New Roman" w:hAnsi="Times New Roman"/>
          <w:color w:val="000000"/>
          <w:sz w:val="24"/>
          <w:szCs w:val="24"/>
        </w:rPr>
        <w:t xml:space="preserve">The reality of action takes the form of stories, unique, individual life stories that are caught up in a web of other life stories. </w:t>
      </w:r>
    </w:p>
    <w:p w14:paraId="6C739FF3" w14:textId="77777777" w:rsidR="003337B0" w:rsidRPr="00E41015" w:rsidRDefault="003337B0">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870491" w:rsidRPr="00E41015">
        <w:rPr>
          <w:rStyle w:val="HTMLTypewriter"/>
          <w:rFonts w:ascii="Times New Roman" w:hAnsi="Times New Roman"/>
          <w:color w:val="000000"/>
          <w:sz w:val="24"/>
          <w:szCs w:val="24"/>
        </w:rPr>
        <w:t xml:space="preserve">The fourth sentence notes, in its first clause, how the web constrains action, that is, freedom. It is because of the web “that action almost never achieves its purpose.” </w:t>
      </w:r>
      <w:r w:rsidRPr="00E41015">
        <w:rPr>
          <w:rStyle w:val="HTMLTypewriter"/>
          <w:rFonts w:ascii="Times New Roman" w:hAnsi="Times New Roman"/>
          <w:color w:val="000000"/>
          <w:sz w:val="24"/>
          <w:szCs w:val="24"/>
        </w:rPr>
        <w:t xml:space="preserve">This observation, </w:t>
      </w:r>
      <w:r w:rsidR="00FC012E" w:rsidRPr="00E41015">
        <w:rPr>
          <w:rStyle w:val="HTMLTypewriter"/>
          <w:rFonts w:ascii="Times New Roman" w:hAnsi="Times New Roman"/>
          <w:color w:val="000000"/>
          <w:sz w:val="24"/>
          <w:szCs w:val="24"/>
        </w:rPr>
        <w:t>subordinate to the main argument of this paragraph</w:t>
      </w:r>
      <w:r w:rsidRPr="00E41015">
        <w:rPr>
          <w:rStyle w:val="HTMLTypewriter"/>
          <w:rFonts w:ascii="Times New Roman" w:hAnsi="Times New Roman"/>
          <w:color w:val="000000"/>
          <w:sz w:val="24"/>
          <w:szCs w:val="24"/>
        </w:rPr>
        <w:t>, is taken up later in the chapter in a remarkable section on the necessity of forgiveness (section #33). The second clause of the fourth sentence</w:t>
      </w:r>
      <w:r w:rsidR="00123B43" w:rsidRPr="00E41015">
        <w:rPr>
          <w:rStyle w:val="HTMLTypewriter"/>
          <w:rFonts w:ascii="Times New Roman" w:hAnsi="Times New Roman"/>
          <w:color w:val="000000"/>
          <w:sz w:val="24"/>
          <w:szCs w:val="24"/>
        </w:rPr>
        <w:t xml:space="preserve"> returns t</w:t>
      </w:r>
      <w:r w:rsidR="004C0286" w:rsidRPr="00E41015">
        <w:rPr>
          <w:rStyle w:val="HTMLTypewriter"/>
          <w:rFonts w:ascii="Times New Roman" w:hAnsi="Times New Roman"/>
          <w:color w:val="000000"/>
          <w:sz w:val="24"/>
          <w:szCs w:val="24"/>
        </w:rPr>
        <w:t>o the main point of the paragraph, the kind of reality involved in action. The web constrains, but it i</w:t>
      </w:r>
      <w:r w:rsidR="004B03CB">
        <w:rPr>
          <w:rStyle w:val="HTMLTypewriter"/>
          <w:rFonts w:ascii="Times New Roman" w:hAnsi="Times New Roman"/>
          <w:color w:val="000000"/>
          <w:sz w:val="24"/>
          <w:szCs w:val="24"/>
        </w:rPr>
        <w:t>s also the web that</w:t>
      </w:r>
      <w:r w:rsidR="004C0286" w:rsidRPr="00E41015">
        <w:rPr>
          <w:rStyle w:val="HTMLTypewriter"/>
          <w:rFonts w:ascii="Times New Roman" w:hAnsi="Times New Roman"/>
          <w:color w:val="000000"/>
          <w:sz w:val="24"/>
          <w:szCs w:val="24"/>
        </w:rPr>
        <w:t xml:space="preserve"> “produces” stories “as naturally as fabrication produces tangible things.” However, the rest of the paragraph qualifies this kind of production, by comparing the way in which the production of stories is like and not like fabrication. </w:t>
      </w:r>
    </w:p>
    <w:p w14:paraId="2ACC2B9C" w14:textId="77777777" w:rsidR="004C0286" w:rsidRPr="00E41015" w:rsidRDefault="004C0286">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On the one hand, stories are in fact “reified,” materialized, become, in fact things, recorded in documents and monuments, become visible in use objects or art works; “they may be told and retold and worked into all kinds of material”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184). On the other hand, there is a difference between the stories themselves, “in their living reality,” and “these reifications.” The</w:t>
      </w:r>
      <w:r w:rsidR="001921CE">
        <w:rPr>
          <w:rStyle w:val="HTMLTypewriter"/>
          <w:rFonts w:ascii="Times New Roman" w:hAnsi="Times New Roman"/>
          <w:color w:val="000000"/>
          <w:sz w:val="24"/>
          <w:szCs w:val="24"/>
        </w:rPr>
        <w:t xml:space="preserve"> former</w:t>
      </w:r>
      <w:r w:rsidRPr="00E41015">
        <w:rPr>
          <w:rStyle w:val="HTMLTypewriter"/>
          <w:rFonts w:ascii="Times New Roman" w:hAnsi="Times New Roman"/>
          <w:color w:val="000000"/>
          <w:sz w:val="24"/>
          <w:szCs w:val="24"/>
        </w:rPr>
        <w:t xml:space="preserve"> are not in fact “products” at all, “properly speaking;” that is, no one is their producer or </w:t>
      </w:r>
      <w:r w:rsidRPr="00E41015">
        <w:rPr>
          <w:rStyle w:val="HTMLTypewriter"/>
          <w:rFonts w:ascii="Times New Roman" w:hAnsi="Times New Roman"/>
          <w:color w:val="000000"/>
          <w:sz w:val="24"/>
          <w:szCs w:val="24"/>
          <w:u w:val="single"/>
        </w:rPr>
        <w:t>author</w:t>
      </w:r>
      <w:r w:rsidRPr="00E41015">
        <w:rPr>
          <w:rStyle w:val="HTMLTypewriter"/>
          <w:rFonts w:ascii="Times New Roman" w:hAnsi="Times New Roman"/>
          <w:color w:val="000000"/>
          <w:sz w:val="24"/>
          <w:szCs w:val="24"/>
        </w:rPr>
        <w:t>. The stories, says Arendt, “reveal an agent, but this agent is not an author or producer.”</w:t>
      </w:r>
    </w:p>
    <w:p w14:paraId="75B1BC96" w14:textId="77777777" w:rsidR="004C0286" w:rsidRPr="00E41015" w:rsidRDefault="004C0286">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r>
      <w:r w:rsidR="00FE4AA4" w:rsidRPr="00E41015">
        <w:rPr>
          <w:rStyle w:val="HTMLTypewriter"/>
          <w:rFonts w:ascii="Times New Roman" w:hAnsi="Times New Roman"/>
          <w:color w:val="000000"/>
          <w:sz w:val="24"/>
          <w:szCs w:val="24"/>
        </w:rPr>
        <w:t>In drawing this dis</w:t>
      </w:r>
      <w:r w:rsidR="0025010F" w:rsidRPr="00E41015">
        <w:rPr>
          <w:rStyle w:val="HTMLTypewriter"/>
          <w:rFonts w:ascii="Times New Roman" w:hAnsi="Times New Roman"/>
          <w:color w:val="000000"/>
          <w:sz w:val="24"/>
          <w:szCs w:val="24"/>
        </w:rPr>
        <w:t>tin</w:t>
      </w:r>
      <w:r w:rsidR="00FE4AA4" w:rsidRPr="00E41015">
        <w:rPr>
          <w:rStyle w:val="HTMLTypewriter"/>
          <w:rFonts w:ascii="Times New Roman" w:hAnsi="Times New Roman"/>
          <w:color w:val="000000"/>
          <w:sz w:val="24"/>
          <w:szCs w:val="24"/>
        </w:rPr>
        <w:t xml:space="preserve">ction, Arendt is clearly advancing the larger distinction between work and action. Is she adducing this phenomenon, that no one is the author of his own life story as evidence </w:t>
      </w:r>
      <w:r w:rsidR="00FE4AA4" w:rsidRPr="00E41015">
        <w:rPr>
          <w:rStyle w:val="HTMLTypewriter"/>
          <w:rFonts w:ascii="Times New Roman" w:hAnsi="Times New Roman"/>
          <w:color w:val="000000"/>
          <w:sz w:val="24"/>
          <w:szCs w:val="24"/>
          <w:u w:val="single"/>
        </w:rPr>
        <w:t>for</w:t>
      </w:r>
      <w:r w:rsidR="00FE4AA4" w:rsidRPr="00E41015">
        <w:rPr>
          <w:rStyle w:val="HTMLTypewriter"/>
          <w:rFonts w:ascii="Times New Roman" w:hAnsi="Times New Roman"/>
          <w:color w:val="000000"/>
          <w:sz w:val="24"/>
          <w:szCs w:val="24"/>
        </w:rPr>
        <w:t xml:space="preserve"> the distinction? Or is she asserting the </w:t>
      </w:r>
      <w:r w:rsidR="00870491" w:rsidRPr="00E41015">
        <w:rPr>
          <w:rStyle w:val="HTMLTypewriter"/>
          <w:rFonts w:ascii="Times New Roman" w:hAnsi="Times New Roman"/>
          <w:color w:val="000000"/>
          <w:sz w:val="24"/>
          <w:szCs w:val="24"/>
        </w:rPr>
        <w:t>distinction</w:t>
      </w:r>
      <w:r w:rsidR="00FE4AA4" w:rsidRPr="00E41015">
        <w:rPr>
          <w:rStyle w:val="HTMLTypewriter"/>
          <w:rFonts w:ascii="Times New Roman" w:hAnsi="Times New Roman"/>
          <w:color w:val="000000"/>
          <w:sz w:val="24"/>
          <w:szCs w:val="24"/>
        </w:rPr>
        <w:t xml:space="preserve"> as a necessary deduction from the a priori distinction between work and action? Clearly the former. We don’t in fact “write” the story of our lives, precisely because of the web of human relationships into which we are born and live out our lives, a web we do not control. Above all, none of us writes the ending (cf.  193). Appeal to experience is central to how Arendt argues (cf.  37, 105, 230, 323). </w:t>
      </w:r>
    </w:p>
    <w:p w14:paraId="3E9CBA2F" w14:textId="77777777" w:rsidR="00D8661E" w:rsidRPr="00E41015" w:rsidRDefault="00FE4AA4">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What is most striking about Arendt’s account of action is the ironic contrast between its </w:t>
      </w:r>
      <w:r w:rsidRPr="00E41015">
        <w:rPr>
          <w:rStyle w:val="HTMLTypewriter"/>
          <w:rFonts w:ascii="Times New Roman" w:hAnsi="Times New Roman"/>
          <w:color w:val="000000"/>
          <w:sz w:val="24"/>
          <w:szCs w:val="24"/>
          <w:u w:val="single"/>
        </w:rPr>
        <w:t>eminence</w:t>
      </w:r>
      <w:r w:rsidRPr="00E41015">
        <w:rPr>
          <w:rStyle w:val="HTMLTypewriter"/>
          <w:rFonts w:ascii="Times New Roman" w:hAnsi="Times New Roman"/>
          <w:color w:val="000000"/>
          <w:sz w:val="24"/>
          <w:szCs w:val="24"/>
        </w:rPr>
        <w:t xml:space="preserve">, as the highest ideal of the human condition, on the one hand, and its </w:t>
      </w:r>
      <w:r w:rsidRPr="00E41015">
        <w:rPr>
          <w:rStyle w:val="HTMLTypewriter"/>
          <w:rFonts w:ascii="Times New Roman" w:hAnsi="Times New Roman"/>
          <w:color w:val="000000"/>
          <w:sz w:val="24"/>
          <w:szCs w:val="24"/>
          <w:u w:val="single"/>
        </w:rPr>
        <w:t>frailty</w:t>
      </w:r>
      <w:r w:rsidRPr="00E41015">
        <w:rPr>
          <w:rStyle w:val="HTMLTypewriter"/>
          <w:rFonts w:ascii="Times New Roman" w:hAnsi="Times New Roman"/>
          <w:color w:val="000000"/>
          <w:sz w:val="24"/>
          <w:szCs w:val="24"/>
        </w:rPr>
        <w:t xml:space="preserve">, its unpredictability, and even its “disabilities”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236), on the other. </w:t>
      </w:r>
    </w:p>
    <w:p w14:paraId="1D9F61F0" w14:textId="77777777" w:rsidR="00E67338" w:rsidRPr="00E41015" w:rsidRDefault="00FF7407" w:rsidP="00E67338">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lastRenderedPageBreak/>
        <w:t>Throughout the chapter both aspects interweave. Careful, insistent attention to the “greatn</w:t>
      </w:r>
      <w:r w:rsidR="00D8661E" w:rsidRPr="00E41015">
        <w:rPr>
          <w:rStyle w:val="HTMLTypewriter"/>
          <w:rFonts w:ascii="Times New Roman" w:hAnsi="Times New Roman"/>
          <w:color w:val="000000"/>
          <w:sz w:val="24"/>
          <w:szCs w:val="24"/>
        </w:rPr>
        <w:t>ess</w:t>
      </w:r>
      <w:r w:rsidR="00B409A9"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 power,” and “reality” of action alternates with equally persistent elaboration of its “weaknesses,” (234), its “haphazardness,” and even the “moral irresponsibility inherent in a plurality of agents” (230)! Why does Arendt go out of her way to bring out the negative side of action? </w:t>
      </w:r>
      <w:r w:rsidR="00E67338" w:rsidRPr="00E41015">
        <w:rPr>
          <w:rStyle w:val="HTMLTypewriter"/>
          <w:rFonts w:ascii="Times New Roman" w:hAnsi="Times New Roman"/>
          <w:color w:val="000000"/>
          <w:sz w:val="24"/>
          <w:szCs w:val="24"/>
        </w:rPr>
        <w:t>How are we to account for this emphasis on action’s disabilities, for this disconcerting juxtaposition of elevation of action and critique?</w:t>
      </w:r>
    </w:p>
    <w:p w14:paraId="067CE4E5" w14:textId="77777777" w:rsidR="00FF7407" w:rsidRPr="00E41015" w:rsidRDefault="00FF7407" w:rsidP="00D8661E">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One reason is to explain the long history of hostility and devaluation of action by the political and philosophical tradition. Another is because the aspects that contribute to its disabilities, such as unpredictability, irreversibility, boundlessness (190), and intangibility (183), are also absolutely vital to its priceless constitutive characteristics: natality, freedom, and the revelatory disclosure of the individuality of the person, the uniquely distinct “who.” </w:t>
      </w:r>
    </w:p>
    <w:p w14:paraId="0065DB38" w14:textId="77777777" w:rsidR="00FF7407" w:rsidRPr="00E41015" w:rsidRDefault="00FF7407">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A third point is that her thoughtful reflection on the full contours of action’s greatness and weakness leads to original insight into essential “potentialities” within action, “which enable it to survive” its disabilities (236). These potentialities are two, the power to forgive and the power of promise. They are the topics of the last two sections of the chapter. Forgiveness is essential to survive the irreversibility of action. Promise is required to stabilize human affairs in the face of the unpredictability of action. It is “the price human beings pay for freedom” (244).</w:t>
      </w:r>
    </w:p>
    <w:p w14:paraId="5E97A565" w14:textId="77777777" w:rsidR="00AC63BC" w:rsidRPr="00E41015" w:rsidRDefault="00AC63BC" w:rsidP="00AC63BC">
      <w:pPr>
        <w:ind w:firstLine="720"/>
        <w:rPr>
          <w:rStyle w:val="HTMLTypewriter"/>
          <w:rFonts w:ascii="Times New Roman" w:hAnsi="Times New Roman"/>
          <w:color w:val="000000"/>
          <w:sz w:val="24"/>
          <w:szCs w:val="24"/>
          <w:u w:val="single"/>
        </w:rPr>
      </w:pPr>
      <w:r w:rsidRPr="00E41015">
        <w:rPr>
          <w:rStyle w:val="HTMLTypewriter"/>
          <w:rFonts w:ascii="Times New Roman" w:hAnsi="Times New Roman"/>
          <w:color w:val="000000"/>
          <w:sz w:val="24"/>
          <w:szCs w:val="24"/>
        </w:rPr>
        <w:t xml:space="preserve">Freedom requires the world but it is also for the world. Freedom, in the form of natality is “the miracle that saves the world” </w:t>
      </w:r>
      <w:r w:rsidR="005F7438" w:rsidRPr="00E41015">
        <w:rPr>
          <w:rStyle w:val="HTMLTypewriter"/>
          <w:rFonts w:ascii="Times New Roman" w:hAnsi="Times New Roman"/>
          <w:color w:val="000000"/>
          <w:sz w:val="24"/>
          <w:szCs w:val="24"/>
        </w:rPr>
        <w:t>(</w:t>
      </w:r>
      <w:r w:rsidRPr="00E41015">
        <w:rPr>
          <w:rStyle w:val="HTMLTypewriter"/>
          <w:rFonts w:ascii="Times New Roman" w:hAnsi="Times New Roman"/>
          <w:color w:val="000000"/>
          <w:sz w:val="24"/>
          <w:szCs w:val="24"/>
        </w:rPr>
        <w:t xml:space="preserve">247). That remarkable declaration concludes chapter five and concludes the first major part of the book. Arendt’s </w:t>
      </w:r>
      <w:r w:rsidRPr="00E41015">
        <w:rPr>
          <w:rStyle w:val="HTMLTypewriter"/>
          <w:rFonts w:ascii="Times New Roman" w:hAnsi="Times New Roman"/>
          <w:i/>
          <w:iCs/>
          <w:color w:val="000000"/>
          <w:sz w:val="24"/>
          <w:szCs w:val="24"/>
        </w:rPr>
        <w:t>amor mundi</w:t>
      </w:r>
      <w:r w:rsidRPr="00E41015">
        <w:rPr>
          <w:rStyle w:val="HTMLTypewriter"/>
          <w:rFonts w:ascii="Times New Roman" w:hAnsi="Times New Roman"/>
          <w:color w:val="000000"/>
          <w:sz w:val="24"/>
          <w:szCs w:val="24"/>
        </w:rPr>
        <w:t>, “love for the world” has been taken by some as the central motif of her life</w:t>
      </w:r>
      <w:r w:rsidR="007D7EC7">
        <w:rPr>
          <w:rStyle w:val="FootnoteReference"/>
          <w:color w:val="000000"/>
        </w:rPr>
        <w:footnoteReference w:id="14"/>
      </w:r>
      <w:r w:rsidRPr="00E41015">
        <w:rPr>
          <w:rStyle w:val="HTMLTypewriter"/>
          <w:rFonts w:ascii="Times New Roman" w:hAnsi="Times New Roman"/>
          <w:color w:val="000000"/>
          <w:sz w:val="24"/>
          <w:szCs w:val="24"/>
        </w:rPr>
        <w:t xml:space="preserve">. The title of </w:t>
      </w:r>
      <w:r w:rsidR="00576FE9">
        <w:rPr>
          <w:rStyle w:val="HTMLTypewriter"/>
          <w:rFonts w:ascii="Times New Roman" w:hAnsi="Times New Roman"/>
          <w:color w:val="000000"/>
          <w:sz w:val="24"/>
          <w:szCs w:val="24"/>
        </w:rPr>
        <w:t xml:space="preserve">her </w:t>
      </w:r>
      <w:r w:rsidRPr="00E41015">
        <w:rPr>
          <w:rStyle w:val="HTMLTypewriter"/>
          <w:rFonts w:ascii="Times New Roman" w:hAnsi="Times New Roman"/>
          <w:color w:val="000000"/>
          <w:sz w:val="24"/>
          <w:szCs w:val="24"/>
        </w:rPr>
        <w:t xml:space="preserve">biography is </w:t>
      </w:r>
      <w:r w:rsidRPr="00E41015">
        <w:rPr>
          <w:rStyle w:val="HTMLTypewriter"/>
          <w:rFonts w:ascii="Times New Roman" w:hAnsi="Times New Roman"/>
          <w:i/>
          <w:iCs/>
          <w:color w:val="000000"/>
          <w:sz w:val="24"/>
          <w:szCs w:val="24"/>
        </w:rPr>
        <w:t>For Love of the World</w:t>
      </w:r>
      <w:r w:rsidRPr="00E41015">
        <w:rPr>
          <w:rStyle w:val="HTMLTypewriter"/>
          <w:rFonts w:ascii="Times New Roman" w:hAnsi="Times New Roman"/>
          <w:color w:val="000000"/>
          <w:sz w:val="24"/>
          <w:szCs w:val="24"/>
        </w:rPr>
        <w:t>.</w:t>
      </w:r>
      <w:r w:rsidR="00576FE9">
        <w:rPr>
          <w:rStyle w:val="FootnoteReference"/>
          <w:color w:val="000000"/>
        </w:rPr>
        <w:footnoteReference w:id="15"/>
      </w:r>
      <w:r w:rsidRPr="00E41015">
        <w:rPr>
          <w:rStyle w:val="HTMLTypewriter"/>
          <w:rFonts w:ascii="Times New Roman" w:hAnsi="Times New Roman"/>
          <w:color w:val="000000"/>
          <w:sz w:val="24"/>
          <w:szCs w:val="24"/>
        </w:rPr>
        <w:t xml:space="preserve"> In the last analysis, however, her esteem for the world derives from the esteem for action. Because of her elevation of action, because freedom as action requires world, the world takes on a dignity, worth, and esteem that stands in stark contrast to the philosophical tradition. </w:t>
      </w:r>
    </w:p>
    <w:p w14:paraId="7AB0FA6B" w14:textId="77777777" w:rsidR="00D16714" w:rsidRPr="00E41015" w:rsidRDefault="00D16714" w:rsidP="00735782">
      <w:pPr>
        <w:rPr>
          <w:rStyle w:val="HTMLTypewriter"/>
          <w:rFonts w:ascii="Times New Roman" w:hAnsi="Times New Roman"/>
          <w:color w:val="000000"/>
          <w:sz w:val="24"/>
          <w:szCs w:val="24"/>
        </w:rPr>
      </w:pPr>
    </w:p>
    <w:p w14:paraId="7283C438" w14:textId="77777777" w:rsidR="002D6E38" w:rsidRPr="0034109D" w:rsidRDefault="002D6E38" w:rsidP="00735782">
      <w:pPr>
        <w:rPr>
          <w:rStyle w:val="HTMLTypewriter"/>
          <w:rFonts w:ascii="Times New Roman" w:hAnsi="Times New Roman"/>
          <w:b/>
          <w:color w:val="000000"/>
          <w:sz w:val="24"/>
          <w:szCs w:val="24"/>
        </w:rPr>
      </w:pPr>
      <w:r w:rsidRPr="0034109D">
        <w:rPr>
          <w:rStyle w:val="HTMLTypewriter"/>
          <w:rFonts w:ascii="Times New Roman" w:hAnsi="Times New Roman"/>
          <w:b/>
          <w:color w:val="000000"/>
          <w:sz w:val="24"/>
          <w:szCs w:val="24"/>
        </w:rPr>
        <w:t>Chapter 6</w:t>
      </w:r>
    </w:p>
    <w:p w14:paraId="440B8105" w14:textId="77777777" w:rsidR="002D6E38" w:rsidRPr="00E41015" w:rsidRDefault="002D6E38" w:rsidP="00735782">
      <w:pPr>
        <w:rPr>
          <w:rStyle w:val="HTMLTypewriter"/>
          <w:rFonts w:ascii="Times New Roman" w:hAnsi="Times New Roman"/>
          <w:color w:val="000000"/>
          <w:sz w:val="24"/>
          <w:szCs w:val="24"/>
        </w:rPr>
      </w:pPr>
    </w:p>
    <w:p w14:paraId="08616D38" w14:textId="77777777" w:rsidR="008953C9" w:rsidRPr="00E41015" w:rsidRDefault="008953C9" w:rsidP="008953C9">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Chapter five ends on a note of hope. A reader can be forgiven for imagining that the book could have ended here. It is disconcerting to find, instead, a new chain of thought introduced and pursued relentlessly over the course of six sections (#35-40), forty pages, before it is linked up with all that has preceded in the final five sections (#41-45). And while these final sections deal with familiar themes, the reversal of contemplation and action, the victory of labor over work and action, they are not mere summaries. So what is Arendt doing in this final chapter?</w:t>
      </w:r>
    </w:p>
    <w:p w14:paraId="1CA7AD00" w14:textId="77777777" w:rsidR="00D95E4C" w:rsidRPr="00E41015" w:rsidRDefault="005D142B" w:rsidP="008953C9">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One answer is </w:t>
      </w:r>
      <w:r w:rsidR="00C25422" w:rsidRPr="00E41015">
        <w:rPr>
          <w:rStyle w:val="HTMLTypewriter"/>
          <w:rFonts w:ascii="Times New Roman" w:hAnsi="Times New Roman"/>
          <w:color w:val="000000"/>
          <w:sz w:val="24"/>
          <w:szCs w:val="24"/>
        </w:rPr>
        <w:t xml:space="preserve">that if </w:t>
      </w:r>
      <w:r w:rsidR="008953C9" w:rsidRPr="00E41015">
        <w:rPr>
          <w:rStyle w:val="HTMLTypewriter"/>
          <w:rFonts w:ascii="Times New Roman" w:hAnsi="Times New Roman"/>
          <w:color w:val="000000"/>
          <w:sz w:val="24"/>
          <w:szCs w:val="24"/>
        </w:rPr>
        <w:t xml:space="preserve">chapter five concludes the positive argument, the case </w:t>
      </w:r>
      <w:r w:rsidR="008953C9" w:rsidRPr="00E41015">
        <w:rPr>
          <w:rStyle w:val="HTMLTypewriter"/>
          <w:rFonts w:ascii="Times New Roman" w:hAnsi="Times New Roman"/>
          <w:color w:val="000000"/>
          <w:sz w:val="24"/>
          <w:szCs w:val="24"/>
          <w:u w:val="single"/>
        </w:rPr>
        <w:t>for</w:t>
      </w:r>
      <w:r w:rsidR="008953C9" w:rsidRPr="00E41015">
        <w:rPr>
          <w:rStyle w:val="HTMLTypewriter"/>
          <w:rFonts w:ascii="Times New Roman" w:hAnsi="Times New Roman"/>
          <w:color w:val="000000"/>
          <w:sz w:val="24"/>
          <w:szCs w:val="24"/>
        </w:rPr>
        <w:t xml:space="preserve"> the worldly freedom of action, chapter six concludes the negative argument, the case against the world-alienat</w:t>
      </w:r>
      <w:r w:rsidR="0074080D" w:rsidRPr="00E41015">
        <w:rPr>
          <w:rStyle w:val="HTMLTypewriter"/>
          <w:rFonts w:ascii="Times New Roman" w:hAnsi="Times New Roman"/>
          <w:color w:val="000000"/>
          <w:sz w:val="24"/>
          <w:szCs w:val="24"/>
        </w:rPr>
        <w:t xml:space="preserve">ing victory of labor, </w:t>
      </w:r>
      <w:r w:rsidR="0074080D" w:rsidRPr="00E41015">
        <w:rPr>
          <w:rStyle w:val="HTMLTypewriter"/>
          <w:rFonts w:ascii="Times New Roman" w:hAnsi="Times New Roman"/>
          <w:i/>
          <w:color w:val="000000"/>
          <w:sz w:val="24"/>
          <w:szCs w:val="24"/>
        </w:rPr>
        <w:t>Animal laborans</w:t>
      </w:r>
      <w:r w:rsidR="0074080D" w:rsidRPr="00E41015">
        <w:rPr>
          <w:rStyle w:val="HTMLTypewriter"/>
          <w:rFonts w:ascii="Times New Roman" w:hAnsi="Times New Roman"/>
          <w:color w:val="000000"/>
          <w:sz w:val="24"/>
          <w:szCs w:val="24"/>
        </w:rPr>
        <w:t xml:space="preserve">, </w:t>
      </w:r>
      <w:r w:rsidR="00F260CC" w:rsidRPr="00E41015">
        <w:rPr>
          <w:rStyle w:val="HTMLTypewriter"/>
          <w:rFonts w:ascii="Times New Roman" w:hAnsi="Times New Roman"/>
          <w:color w:val="000000"/>
          <w:sz w:val="24"/>
          <w:szCs w:val="24"/>
        </w:rPr>
        <w:t>a “victory” that has lowered man to animal life</w:t>
      </w:r>
      <w:r w:rsidR="0074080D" w:rsidRPr="00E41015">
        <w:rPr>
          <w:rStyle w:val="HTMLTypewriter"/>
          <w:rFonts w:ascii="Times New Roman" w:hAnsi="Times New Roman"/>
          <w:color w:val="000000"/>
          <w:sz w:val="24"/>
          <w:szCs w:val="24"/>
        </w:rPr>
        <w:t xml:space="preserve"> and </w:t>
      </w:r>
      <w:r w:rsidR="00F260CC" w:rsidRPr="00E41015">
        <w:rPr>
          <w:rStyle w:val="HTMLTypewriter"/>
          <w:rFonts w:ascii="Times New Roman" w:hAnsi="Times New Roman"/>
          <w:color w:val="000000"/>
          <w:sz w:val="24"/>
          <w:szCs w:val="24"/>
        </w:rPr>
        <w:t>threatens</w:t>
      </w:r>
      <w:r w:rsidR="0074080D" w:rsidRPr="00E41015">
        <w:rPr>
          <w:rStyle w:val="HTMLTypewriter"/>
          <w:rFonts w:ascii="Times New Roman" w:hAnsi="Times New Roman"/>
          <w:color w:val="000000"/>
          <w:sz w:val="24"/>
          <w:szCs w:val="24"/>
        </w:rPr>
        <w:t xml:space="preserve"> political freedom</w:t>
      </w:r>
      <w:r w:rsidR="008953C9" w:rsidRPr="00E41015">
        <w:rPr>
          <w:rStyle w:val="HTMLTypewriter"/>
          <w:rFonts w:ascii="Times New Roman" w:hAnsi="Times New Roman"/>
          <w:color w:val="000000"/>
          <w:sz w:val="24"/>
          <w:szCs w:val="24"/>
        </w:rPr>
        <w:t>.</w:t>
      </w:r>
      <w:r w:rsidR="00C25422" w:rsidRPr="00E41015">
        <w:rPr>
          <w:rStyle w:val="HTMLTypewriter"/>
          <w:rFonts w:ascii="Times New Roman" w:hAnsi="Times New Roman"/>
          <w:color w:val="000000"/>
          <w:sz w:val="24"/>
          <w:szCs w:val="24"/>
        </w:rPr>
        <w:t xml:space="preserve"> </w:t>
      </w:r>
      <w:r w:rsidR="0074080D" w:rsidRPr="00E41015">
        <w:rPr>
          <w:rStyle w:val="HTMLTypewriter"/>
          <w:rFonts w:ascii="Times New Roman" w:hAnsi="Times New Roman"/>
          <w:color w:val="000000"/>
          <w:sz w:val="24"/>
          <w:szCs w:val="24"/>
        </w:rPr>
        <w:t>Even though the chapter ends by recapitulating the double reversal (vita active</w:t>
      </w:r>
      <w:r w:rsidR="00870491" w:rsidRPr="00E41015">
        <w:rPr>
          <w:rStyle w:val="HTMLTypewriter"/>
          <w:rFonts w:ascii="Times New Roman" w:hAnsi="Times New Roman"/>
          <w:color w:val="000000"/>
          <w:sz w:val="24"/>
          <w:szCs w:val="24"/>
        </w:rPr>
        <w:t xml:space="preserve"> over v</w:t>
      </w:r>
      <w:r w:rsidR="0074080D" w:rsidRPr="00E41015">
        <w:rPr>
          <w:rStyle w:val="HTMLTypewriter"/>
          <w:rFonts w:ascii="Times New Roman" w:hAnsi="Times New Roman"/>
          <w:color w:val="000000"/>
          <w:sz w:val="24"/>
          <w:szCs w:val="24"/>
        </w:rPr>
        <w:t xml:space="preserve">ita contemplative, and labor over action and work) with which the book begins, it reaches that end by way of an extended </w:t>
      </w:r>
      <w:r w:rsidR="0074080D" w:rsidRPr="00E41015">
        <w:rPr>
          <w:rStyle w:val="HTMLTypewriter"/>
          <w:rFonts w:ascii="Times New Roman" w:hAnsi="Times New Roman"/>
          <w:color w:val="000000"/>
          <w:sz w:val="24"/>
          <w:szCs w:val="24"/>
        </w:rPr>
        <w:lastRenderedPageBreak/>
        <w:t>consideration of modern science and philosophy, beginning with Galileo and Descartes respectively.</w:t>
      </w:r>
      <w:r w:rsidR="001F2455" w:rsidRPr="00E41015">
        <w:rPr>
          <w:rStyle w:val="HTMLTypewriter"/>
          <w:rFonts w:ascii="Times New Roman" w:hAnsi="Times New Roman"/>
          <w:color w:val="000000"/>
          <w:sz w:val="24"/>
          <w:szCs w:val="24"/>
        </w:rPr>
        <w:t xml:space="preserve"> </w:t>
      </w:r>
    </w:p>
    <w:p w14:paraId="67A4A08E" w14:textId="77777777" w:rsidR="00AE1EF6" w:rsidRPr="00E41015" w:rsidRDefault="0074080D" w:rsidP="001F2455">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The c</w:t>
      </w:r>
      <w:r w:rsidR="003775F6" w:rsidRPr="00E41015">
        <w:rPr>
          <w:rStyle w:val="HTMLTypewriter"/>
          <w:rFonts w:ascii="Times New Roman" w:hAnsi="Times New Roman"/>
          <w:color w:val="000000"/>
          <w:sz w:val="24"/>
          <w:szCs w:val="24"/>
        </w:rPr>
        <w:t>hapter begins on a familiar note</w:t>
      </w:r>
      <w:r w:rsidR="00D95E4C" w:rsidRPr="00E41015">
        <w:rPr>
          <w:rStyle w:val="HTMLTypewriter"/>
          <w:rFonts w:ascii="Times New Roman" w:hAnsi="Times New Roman"/>
          <w:color w:val="000000"/>
          <w:sz w:val="24"/>
          <w:szCs w:val="24"/>
        </w:rPr>
        <w:t xml:space="preserve">, </w:t>
      </w:r>
      <w:r w:rsidR="003775F6" w:rsidRPr="00E41015">
        <w:rPr>
          <w:rStyle w:val="HTMLTypewriter"/>
          <w:rFonts w:ascii="Times New Roman" w:hAnsi="Times New Roman"/>
          <w:color w:val="000000"/>
          <w:sz w:val="24"/>
          <w:szCs w:val="24"/>
        </w:rPr>
        <w:t>the discovery of America, the Reformation, and the invention of the telescope</w:t>
      </w:r>
      <w:r w:rsidR="00D95E4C" w:rsidRPr="00E41015">
        <w:rPr>
          <w:rStyle w:val="HTMLTypewriter"/>
          <w:rFonts w:ascii="Times New Roman" w:hAnsi="Times New Roman"/>
          <w:color w:val="000000"/>
          <w:sz w:val="24"/>
          <w:szCs w:val="24"/>
        </w:rPr>
        <w:t xml:space="preserve">, three great events that stand on </w:t>
      </w:r>
      <w:r w:rsidR="006E437B" w:rsidRPr="00E41015">
        <w:rPr>
          <w:rStyle w:val="HTMLTypewriter"/>
          <w:rFonts w:ascii="Times New Roman" w:hAnsi="Times New Roman"/>
          <w:color w:val="000000"/>
          <w:sz w:val="24"/>
          <w:szCs w:val="24"/>
        </w:rPr>
        <w:t>the threshold of the modern age</w:t>
      </w:r>
      <w:r w:rsidR="003775F6" w:rsidRPr="00E41015">
        <w:rPr>
          <w:rStyle w:val="HTMLTypewriter"/>
          <w:rFonts w:ascii="Times New Roman" w:hAnsi="Times New Roman"/>
          <w:color w:val="000000"/>
          <w:sz w:val="24"/>
          <w:szCs w:val="24"/>
        </w:rPr>
        <w:t xml:space="preserve">. </w:t>
      </w:r>
      <w:r w:rsidR="0073227F" w:rsidRPr="00E41015">
        <w:rPr>
          <w:rStyle w:val="HTMLTypewriter"/>
          <w:rFonts w:ascii="Times New Roman" w:hAnsi="Times New Roman"/>
          <w:color w:val="000000"/>
          <w:sz w:val="24"/>
          <w:szCs w:val="24"/>
        </w:rPr>
        <w:t xml:space="preserve">Arendt celebrates the </w:t>
      </w:r>
      <w:r w:rsidR="00AE1EF6" w:rsidRPr="00E41015">
        <w:rPr>
          <w:rStyle w:val="HTMLTypewriter"/>
          <w:rFonts w:ascii="Times New Roman" w:hAnsi="Times New Roman"/>
          <w:color w:val="000000"/>
          <w:sz w:val="24"/>
          <w:szCs w:val="24"/>
        </w:rPr>
        <w:t>telescope with words from Whitehead that, like the closing words of the previous chapter, evoke the coming of the Messiah</w:t>
      </w:r>
      <w:r w:rsidR="00870491" w:rsidRPr="00E41015">
        <w:rPr>
          <w:rStyle w:val="HTMLTypewriter"/>
          <w:rFonts w:ascii="Times New Roman" w:hAnsi="Times New Roman"/>
          <w:color w:val="000000"/>
          <w:sz w:val="24"/>
          <w:szCs w:val="24"/>
        </w:rPr>
        <w:t>:</w:t>
      </w:r>
      <w:r w:rsidR="0073227F" w:rsidRPr="00E41015">
        <w:rPr>
          <w:rStyle w:val="HTMLTypewriter"/>
          <w:rFonts w:ascii="Times New Roman" w:hAnsi="Times New Roman"/>
          <w:color w:val="000000"/>
          <w:sz w:val="24"/>
          <w:szCs w:val="24"/>
        </w:rPr>
        <w:t xml:space="preserve"> “Since a babe was born into a manger, it may be doubted whether so great a thing has happened with so little stir” (257). </w:t>
      </w:r>
    </w:p>
    <w:p w14:paraId="31B05356" w14:textId="77777777" w:rsidR="001F2455" w:rsidRPr="00E41015" w:rsidRDefault="00710987" w:rsidP="001F2455">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But Arendt’s account of these three events quickly takes off along less familiar paths. In fact, the central argument is counter-intuitive and disorienting. Instead of the familiar celebratory story, Arendt finds instead in these three events a story of alienation</w:t>
      </w:r>
      <w:r w:rsidR="00F30022" w:rsidRPr="00E41015">
        <w:rPr>
          <w:rStyle w:val="HTMLTypewriter"/>
          <w:rFonts w:ascii="Times New Roman" w:hAnsi="Times New Roman"/>
          <w:color w:val="000000"/>
          <w:sz w:val="24"/>
          <w:szCs w:val="24"/>
        </w:rPr>
        <w:t>. “World alienation” is the “hallmark” of the modern age (254)</w:t>
      </w:r>
      <w:r w:rsidRPr="00E41015">
        <w:rPr>
          <w:rStyle w:val="HTMLTypewriter"/>
          <w:rFonts w:ascii="Times New Roman" w:hAnsi="Times New Roman"/>
          <w:color w:val="000000"/>
          <w:sz w:val="24"/>
          <w:szCs w:val="24"/>
        </w:rPr>
        <w:t>. Modern, in contrast to medieval world alienation, has two related aspects, the flight from the earth into the universe, launched by Galileo’s telescope</w:t>
      </w:r>
      <w:r w:rsidR="0074080D" w:rsidRPr="00E41015">
        <w:rPr>
          <w:rStyle w:val="HTMLTypewriter"/>
          <w:rFonts w:ascii="Times New Roman" w:hAnsi="Times New Roman"/>
          <w:color w:val="000000"/>
          <w:sz w:val="24"/>
          <w:szCs w:val="24"/>
        </w:rPr>
        <w:t xml:space="preserve"> (sections #35-37), </w:t>
      </w:r>
      <w:r w:rsidRPr="00E41015">
        <w:rPr>
          <w:rStyle w:val="HTMLTypewriter"/>
          <w:rFonts w:ascii="Times New Roman" w:hAnsi="Times New Roman"/>
          <w:color w:val="000000"/>
          <w:sz w:val="24"/>
          <w:szCs w:val="24"/>
        </w:rPr>
        <w:t>and the flight from the world into the self, launched by Descartes</w:t>
      </w:r>
      <w:r w:rsidR="0074080D" w:rsidRPr="00E41015">
        <w:rPr>
          <w:rStyle w:val="HTMLTypewriter"/>
          <w:rFonts w:ascii="Times New Roman" w:hAnsi="Times New Roman"/>
          <w:color w:val="000000"/>
          <w:sz w:val="24"/>
          <w:szCs w:val="24"/>
        </w:rPr>
        <w:t xml:space="preserve"> (sections #38-40)</w:t>
      </w:r>
      <w:r w:rsidRPr="00E41015">
        <w:rPr>
          <w:rStyle w:val="HTMLTypewriter"/>
          <w:rFonts w:ascii="Times New Roman" w:hAnsi="Times New Roman"/>
          <w:color w:val="000000"/>
          <w:sz w:val="24"/>
          <w:szCs w:val="24"/>
        </w:rPr>
        <w:t xml:space="preserve">, at least partly in response to “the enormous shock” of Galileo’s experiment. </w:t>
      </w:r>
      <w:r w:rsidR="001F2455" w:rsidRPr="00E41015">
        <w:rPr>
          <w:rStyle w:val="HTMLTypewriter"/>
          <w:rFonts w:ascii="Times New Roman" w:hAnsi="Times New Roman"/>
          <w:color w:val="000000"/>
          <w:sz w:val="24"/>
          <w:szCs w:val="24"/>
        </w:rPr>
        <w:t xml:space="preserve">The path from Galileo to the victory of animal laborans goes by way of the solipsism of introspection, by way of the triumph of introspection over experiment. </w:t>
      </w:r>
    </w:p>
    <w:p w14:paraId="5479C55C" w14:textId="77777777" w:rsidR="00AE1EF6" w:rsidRPr="00E41015" w:rsidRDefault="00AE1EF6" w:rsidP="00AA485A">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Is she guilty of selective vision here, anachronistically reading back into the past the dark experience of twentieth century totalitarianism and scientific threat of atomic annihilation and perversely ignoring the enthusiasm and millennial hopes of early modernity? No, she finds them both present. “The point … is that both despair and triumph are inherent in the same event … it is as if Galileo’s discovery proved in demonstrable fact that both the worst fear and the most presumptuous hope of human speculation, the ancient fear that our sense … might betray us, and the Archimedean wish for a point outside the earth from which to unhinge the world, could only come true together” (262). In a masterpiece of paradoxical expression, she suggests that the Renaissance’s new-awakened love for the earth and the world fell victim to the modern age’s “triumphal world alienation” (264).</w:t>
      </w:r>
    </w:p>
    <w:p w14:paraId="5E954053" w14:textId="77777777" w:rsidR="00710987" w:rsidRPr="00E41015" w:rsidRDefault="00710987" w:rsidP="00AA485A">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Galileo’s telescope gave man access to the Archimedean point, a point outside the earth, “a universal, astrophysical viewpoint, a cosmic standpoint outside nature itself” (265). </w:t>
      </w:r>
      <w:r w:rsidR="00AA485A" w:rsidRPr="00E41015">
        <w:rPr>
          <w:rStyle w:val="HTMLTypewriter"/>
          <w:rFonts w:ascii="Times New Roman" w:hAnsi="Times New Roman"/>
          <w:color w:val="000000"/>
          <w:sz w:val="24"/>
          <w:szCs w:val="24"/>
        </w:rPr>
        <w:t>According to Arendt, “the</w:t>
      </w:r>
      <w:r w:rsidR="00AE1EF6" w:rsidRPr="00E41015">
        <w:rPr>
          <w:rStyle w:val="HTMLTypewriter"/>
          <w:rFonts w:ascii="Times New Roman" w:hAnsi="Times New Roman"/>
          <w:color w:val="000000"/>
          <w:sz w:val="24"/>
          <w:szCs w:val="24"/>
        </w:rPr>
        <w:t xml:space="preserve"> immediate philosophic reaction</w:t>
      </w:r>
      <w:r w:rsidR="00AA485A" w:rsidRPr="00E41015">
        <w:rPr>
          <w:rStyle w:val="HTMLTypewriter"/>
          <w:rFonts w:ascii="Times New Roman" w:hAnsi="Times New Roman"/>
          <w:color w:val="000000"/>
          <w:sz w:val="24"/>
          <w:szCs w:val="24"/>
        </w:rPr>
        <w:t xml:space="preserve"> to this reality was not exultation but the Cartesian doubt by which modern philosophy … was founded” </w:t>
      </w:r>
      <w:r w:rsidR="0074080D" w:rsidRPr="00E41015">
        <w:rPr>
          <w:rStyle w:val="HTMLTypewriter"/>
          <w:rFonts w:ascii="Times New Roman" w:hAnsi="Times New Roman"/>
          <w:color w:val="000000"/>
          <w:sz w:val="24"/>
          <w:szCs w:val="24"/>
        </w:rPr>
        <w:t>(</w:t>
      </w:r>
      <w:r w:rsidR="00AA485A" w:rsidRPr="00E41015">
        <w:rPr>
          <w:rStyle w:val="HTMLTypewriter"/>
          <w:rFonts w:ascii="Times New Roman" w:hAnsi="Times New Roman"/>
          <w:color w:val="000000"/>
          <w:sz w:val="24"/>
          <w:szCs w:val="24"/>
        </w:rPr>
        <w:t>260-1)</w:t>
      </w:r>
      <w:r w:rsidR="0074080D" w:rsidRPr="00E41015">
        <w:rPr>
          <w:rStyle w:val="HTMLTypewriter"/>
          <w:rFonts w:ascii="Times New Roman" w:hAnsi="Times New Roman"/>
          <w:color w:val="000000"/>
          <w:sz w:val="24"/>
          <w:szCs w:val="24"/>
        </w:rPr>
        <w:t>, which eventually moved the Archimedean point inward, “into man himself,” in the form of introspection (284)</w:t>
      </w:r>
      <w:r w:rsidR="00AA485A" w:rsidRPr="00E41015">
        <w:rPr>
          <w:rStyle w:val="HTMLTypewriter"/>
          <w:rFonts w:ascii="Times New Roman" w:hAnsi="Times New Roman"/>
          <w:color w:val="000000"/>
          <w:sz w:val="24"/>
          <w:szCs w:val="24"/>
        </w:rPr>
        <w:t>.</w:t>
      </w:r>
    </w:p>
    <w:p w14:paraId="1ED18B31" w14:textId="77777777" w:rsidR="00AE1EF6" w:rsidRPr="00E41015" w:rsidRDefault="00AE1EF6" w:rsidP="00D57C52">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 xml:space="preserve">The bill of particulars in her indictment is strongly worded. The modern age “may end in the deadliest, most sterile passivity history has ever known” (322). It is characterized by a loss of values (308), by a “loss of human experience” (321), far removed from our own human existence (323). </w:t>
      </w:r>
    </w:p>
    <w:p w14:paraId="67D5A4E0" w14:textId="77777777" w:rsidR="00D57C52" w:rsidRPr="00E41015" w:rsidRDefault="006108CE" w:rsidP="00D57C52">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A</w:t>
      </w:r>
      <w:r w:rsidR="00AE1EF6" w:rsidRPr="00E41015">
        <w:rPr>
          <w:rStyle w:val="HTMLTypewriter"/>
          <w:rFonts w:ascii="Times New Roman" w:hAnsi="Times New Roman"/>
          <w:color w:val="000000"/>
          <w:sz w:val="24"/>
          <w:szCs w:val="24"/>
        </w:rPr>
        <w:t>t its core the disorder is epistemological</w:t>
      </w:r>
      <w:r w:rsidR="0037365C" w:rsidRPr="00E41015">
        <w:rPr>
          <w:rStyle w:val="HTMLTypewriter"/>
          <w:rFonts w:ascii="Times New Roman" w:hAnsi="Times New Roman"/>
          <w:color w:val="000000"/>
          <w:sz w:val="24"/>
          <w:szCs w:val="24"/>
        </w:rPr>
        <w:t>. It is</w:t>
      </w:r>
      <w:r w:rsidR="00492F31" w:rsidRPr="00E41015">
        <w:rPr>
          <w:rStyle w:val="HTMLTypewriter"/>
          <w:rFonts w:ascii="Times New Roman" w:hAnsi="Times New Roman"/>
          <w:color w:val="000000"/>
          <w:sz w:val="24"/>
          <w:szCs w:val="24"/>
        </w:rPr>
        <w:t xml:space="preserve"> “moved by doubt of the adequacy of the human sense to receive reality, the adequacy of human reason to receive truth, and hence by the conviction of the deficiency or even depravity of human nature” (320), doubt that drove man in to himself, his own consciousness, in epistemological introspection. </w:t>
      </w:r>
      <w:r w:rsidR="00AE1EF6" w:rsidRPr="00E41015">
        <w:rPr>
          <w:rStyle w:val="HTMLTypewriter"/>
          <w:rFonts w:ascii="Times New Roman" w:hAnsi="Times New Roman"/>
          <w:color w:val="000000"/>
          <w:sz w:val="24"/>
          <w:szCs w:val="24"/>
        </w:rPr>
        <w:t xml:space="preserve">The solution to Cartesian doubt was “to move the Archimedean point into man himself, to choose as the ultimate point of reference the pattern of the human mind itself, which assures itself of reality and certainty with a framework of mathematical </w:t>
      </w:r>
      <w:r w:rsidR="00AE1EF6" w:rsidRPr="00E41015">
        <w:rPr>
          <w:rStyle w:val="HTMLTypewriter"/>
          <w:rFonts w:ascii="Times New Roman" w:hAnsi="Times New Roman"/>
          <w:color w:val="000000"/>
          <w:sz w:val="24"/>
          <w:szCs w:val="24"/>
        </w:rPr>
        <w:lastRenderedPageBreak/>
        <w:t xml:space="preserve">formulas which are its own products” (284). The world of the experiment while increasing man’s power also “puts man back once more … into the prison of his own mind, into the limits of patterns he himself created” (288). </w:t>
      </w:r>
      <w:r w:rsidR="00F30022" w:rsidRPr="00E41015">
        <w:rPr>
          <w:rStyle w:val="HTMLTypewriter"/>
          <w:rFonts w:ascii="Times New Roman" w:hAnsi="Times New Roman"/>
          <w:color w:val="000000"/>
          <w:sz w:val="24"/>
          <w:szCs w:val="24"/>
        </w:rPr>
        <w:t xml:space="preserve">It is an age haunted by the nightmare of doubt about reality (277), and the (Cartesian) nightmare that man is in the hands of an “evil spirit” (277); an age in which man has escaped into his own mind both from this world and any other world, only to find that this escape is also closed off (289), an age when “reality and human reason have parted company” (300). </w:t>
      </w:r>
    </w:p>
    <w:p w14:paraId="0A23098F" w14:textId="77777777" w:rsidR="00AE1EF6" w:rsidRPr="00E41015" w:rsidRDefault="00A0239C" w:rsidP="00AE1EF6">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Natural science</w:t>
      </w:r>
      <w:r w:rsidR="00B16597" w:rsidRPr="00E41015">
        <w:rPr>
          <w:rStyle w:val="HTMLTypewriter"/>
          <w:rFonts w:ascii="Times New Roman" w:hAnsi="Times New Roman"/>
          <w:color w:val="000000"/>
          <w:sz w:val="24"/>
          <w:szCs w:val="24"/>
        </w:rPr>
        <w:t>, the pride of the modern age, has produced “a demonstrable, ever-quickening increase in human</w:t>
      </w:r>
      <w:r w:rsidR="00DB7BD2">
        <w:rPr>
          <w:rStyle w:val="HTMLTypewriter"/>
          <w:rFonts w:ascii="Times New Roman" w:hAnsi="Times New Roman"/>
          <w:color w:val="000000"/>
          <w:sz w:val="24"/>
          <w:szCs w:val="24"/>
        </w:rPr>
        <w:t xml:space="preserve"> knowledge and power” (261), an</w:t>
      </w:r>
      <w:r w:rsidR="00B16597" w:rsidRPr="00E41015">
        <w:rPr>
          <w:rStyle w:val="HTMLTypewriter"/>
          <w:rFonts w:ascii="Times New Roman" w:hAnsi="Times New Roman"/>
          <w:color w:val="000000"/>
          <w:sz w:val="24"/>
          <w:szCs w:val="24"/>
        </w:rPr>
        <w:t xml:space="preserve"> epistemological revolution. At th</w:t>
      </w:r>
      <w:r w:rsidR="0041163A">
        <w:rPr>
          <w:rStyle w:val="HTMLTypewriter"/>
          <w:rFonts w:ascii="Times New Roman" w:hAnsi="Times New Roman"/>
          <w:color w:val="000000"/>
          <w:sz w:val="24"/>
          <w:szCs w:val="24"/>
        </w:rPr>
        <w:t>e same time, it has produced a “</w:t>
      </w:r>
      <w:r w:rsidR="00B16597" w:rsidRPr="00E41015">
        <w:rPr>
          <w:rStyle w:val="HTMLTypewriter"/>
          <w:rFonts w:ascii="Times New Roman" w:hAnsi="Times New Roman"/>
          <w:color w:val="000000"/>
          <w:sz w:val="24"/>
          <w:szCs w:val="24"/>
        </w:rPr>
        <w:t>hardly less demonstrable increase in human despair or specifically modern nihilism” (261). Why? Instead of objec</w:t>
      </w:r>
      <w:r w:rsidR="0041163A">
        <w:rPr>
          <w:rStyle w:val="HTMLTypewriter"/>
          <w:rFonts w:ascii="Times New Roman" w:hAnsi="Times New Roman"/>
          <w:color w:val="000000"/>
          <w:sz w:val="24"/>
          <w:szCs w:val="24"/>
        </w:rPr>
        <w:t xml:space="preserve">tive qualities </w:t>
      </w:r>
      <w:r w:rsidR="00B16597" w:rsidRPr="00E41015">
        <w:rPr>
          <w:rStyle w:val="HTMLTypewriter"/>
          <w:rFonts w:ascii="Times New Roman" w:hAnsi="Times New Roman"/>
          <w:color w:val="000000"/>
          <w:sz w:val="24"/>
          <w:szCs w:val="24"/>
        </w:rPr>
        <w:t>we find instruments, and instead of nature or the universe, “man encounters only himself” (261, quoting Heisenberg).</w:t>
      </w:r>
      <w:r w:rsidR="00AE1EF6" w:rsidRPr="00E41015">
        <w:rPr>
          <w:rStyle w:val="HTMLTypewriter"/>
          <w:rFonts w:ascii="Times New Roman" w:hAnsi="Times New Roman"/>
          <w:color w:val="000000"/>
          <w:sz w:val="24"/>
          <w:szCs w:val="24"/>
        </w:rPr>
        <w:t xml:space="preserve"> </w:t>
      </w:r>
    </w:p>
    <w:p w14:paraId="7D3260CD" w14:textId="77777777" w:rsidR="00741298" w:rsidRPr="00E41015" w:rsidRDefault="00741298" w:rsidP="008B5C9D">
      <w:pPr>
        <w:ind w:firstLine="720"/>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In the final paragraph of the book Are</w:t>
      </w:r>
      <w:r w:rsidR="00735AC6" w:rsidRPr="00E41015">
        <w:rPr>
          <w:rStyle w:val="HTMLTypewriter"/>
          <w:rFonts w:ascii="Times New Roman" w:hAnsi="Times New Roman"/>
          <w:color w:val="000000"/>
          <w:sz w:val="24"/>
          <w:szCs w:val="24"/>
        </w:rPr>
        <w:t>ndt</w:t>
      </w:r>
      <w:r w:rsidRPr="00E41015">
        <w:rPr>
          <w:rStyle w:val="HTMLTypewriter"/>
          <w:rFonts w:ascii="Times New Roman" w:hAnsi="Times New Roman"/>
          <w:color w:val="000000"/>
          <w:sz w:val="24"/>
          <w:szCs w:val="24"/>
        </w:rPr>
        <w:t xml:space="preserve"> </w:t>
      </w:r>
      <w:r w:rsidR="00A648D2" w:rsidRPr="00E41015">
        <w:rPr>
          <w:rStyle w:val="HTMLTypewriter"/>
          <w:rFonts w:ascii="Times New Roman" w:hAnsi="Times New Roman"/>
          <w:color w:val="000000"/>
          <w:sz w:val="24"/>
          <w:szCs w:val="24"/>
        </w:rPr>
        <w:t xml:space="preserve">comes back to the </w:t>
      </w:r>
      <w:r w:rsidRPr="00E41015">
        <w:rPr>
          <w:rStyle w:val="HTMLTypewriter"/>
          <w:rFonts w:ascii="Times New Roman" w:hAnsi="Times New Roman"/>
          <w:color w:val="000000"/>
          <w:sz w:val="24"/>
          <w:szCs w:val="24"/>
        </w:rPr>
        <w:t xml:space="preserve">political implications of the epistemological disorder of the modern age. What is startling in this somber final word is that instead of reasserting the supremacy of action against the retrogressive triumph of labor, </w:t>
      </w:r>
      <w:r w:rsidR="008B5C9D" w:rsidRPr="00E41015">
        <w:rPr>
          <w:rStyle w:val="HTMLTypewriter"/>
          <w:rFonts w:ascii="Times New Roman" w:hAnsi="Times New Roman"/>
          <w:color w:val="000000"/>
          <w:sz w:val="24"/>
          <w:szCs w:val="24"/>
        </w:rPr>
        <w:t>she suggests that it is thought that is supreme</w:t>
      </w:r>
      <w:r w:rsidRPr="00E41015">
        <w:rPr>
          <w:rStyle w:val="HTMLTypewriter"/>
          <w:rFonts w:ascii="Times New Roman" w:hAnsi="Times New Roman"/>
          <w:color w:val="000000"/>
          <w:sz w:val="24"/>
          <w:szCs w:val="24"/>
        </w:rPr>
        <w:t xml:space="preserve"> over all of the various a</w:t>
      </w:r>
      <w:r w:rsidR="008B5C9D" w:rsidRPr="00E41015">
        <w:rPr>
          <w:rStyle w:val="HTMLTypewriter"/>
          <w:rFonts w:ascii="Times New Roman" w:hAnsi="Times New Roman"/>
          <w:color w:val="000000"/>
          <w:sz w:val="24"/>
          <w:szCs w:val="24"/>
        </w:rPr>
        <w:t>ctivities within the vita activa</w:t>
      </w:r>
      <w:r w:rsidRPr="00E41015">
        <w:rPr>
          <w:rStyle w:val="HTMLTypewriter"/>
          <w:rFonts w:ascii="Times New Roman" w:hAnsi="Times New Roman"/>
          <w:color w:val="000000"/>
          <w:sz w:val="24"/>
          <w:szCs w:val="24"/>
        </w:rPr>
        <w:t xml:space="preserve">. </w:t>
      </w:r>
      <w:r w:rsidR="008B5C9D" w:rsidRPr="00E41015">
        <w:rPr>
          <w:rStyle w:val="HTMLTypewriter"/>
          <w:rFonts w:ascii="Times New Roman" w:hAnsi="Times New Roman"/>
          <w:color w:val="000000"/>
          <w:sz w:val="24"/>
          <w:szCs w:val="24"/>
        </w:rPr>
        <w:t xml:space="preserve">But in the disorder of the modern age, thought has been reduced to being “the handmaiden of doing” (292), a “function of the brain” (322), a natural, animal process (321). </w:t>
      </w:r>
      <w:r w:rsidRPr="00E41015">
        <w:rPr>
          <w:rStyle w:val="HTMLTypewriter"/>
          <w:rFonts w:ascii="Times New Roman" w:hAnsi="Times New Roman"/>
          <w:color w:val="000000"/>
          <w:sz w:val="24"/>
          <w:szCs w:val="24"/>
        </w:rPr>
        <w:t>The supremacy of thought</w:t>
      </w:r>
      <w:r w:rsidR="008B5C9D" w:rsidRPr="00E41015">
        <w:rPr>
          <w:rStyle w:val="HTMLTypewriter"/>
          <w:rFonts w:ascii="Times New Roman" w:hAnsi="Times New Roman"/>
          <w:color w:val="000000"/>
          <w:sz w:val="24"/>
          <w:szCs w:val="24"/>
        </w:rPr>
        <w:t xml:space="preserve"> </w:t>
      </w:r>
      <w:r w:rsidRPr="00E41015">
        <w:rPr>
          <w:rStyle w:val="HTMLTypewriter"/>
          <w:rFonts w:ascii="Times New Roman" w:hAnsi="Times New Roman"/>
          <w:color w:val="000000"/>
          <w:sz w:val="24"/>
          <w:szCs w:val="24"/>
        </w:rPr>
        <w:t xml:space="preserve">goes hand in hand with its vulnerability. “It is in fact far easier to act under conditions of tyranny than it is to think” (234). </w:t>
      </w:r>
    </w:p>
    <w:p w14:paraId="10B89EF9" w14:textId="77777777" w:rsidR="0021792D" w:rsidRDefault="0021792D" w:rsidP="00770931">
      <w:pPr>
        <w:rPr>
          <w:rStyle w:val="HTMLTypewriter"/>
          <w:rFonts w:ascii="Times New Roman" w:hAnsi="Times New Roman"/>
          <w:color w:val="000000"/>
          <w:sz w:val="24"/>
          <w:szCs w:val="24"/>
        </w:rPr>
      </w:pPr>
    </w:p>
    <w:p w14:paraId="15B76BBC" w14:textId="77777777" w:rsidR="00770931" w:rsidRDefault="00770931" w:rsidP="00770931">
      <w:pP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Conclusion</w:t>
      </w:r>
    </w:p>
    <w:p w14:paraId="38ACC465" w14:textId="77777777" w:rsidR="00770931" w:rsidRPr="00770931" w:rsidRDefault="00770931" w:rsidP="00770931">
      <w:pPr>
        <w:rPr>
          <w:rStyle w:val="HTMLTypewriter"/>
          <w:rFonts w:ascii="Times New Roman" w:hAnsi="Times New Roman"/>
          <w:b/>
          <w:color w:val="000000"/>
          <w:sz w:val="24"/>
          <w:szCs w:val="24"/>
        </w:rPr>
      </w:pPr>
    </w:p>
    <w:p w14:paraId="56F719E7" w14:textId="77777777" w:rsidR="0021792D" w:rsidRPr="0034109D" w:rsidRDefault="00692C9B" w:rsidP="0021792D">
      <w:pP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 xml:space="preserve">A. </w:t>
      </w:r>
      <w:r w:rsidR="004D58F0">
        <w:rPr>
          <w:rStyle w:val="HTMLTypewriter"/>
          <w:rFonts w:ascii="Times New Roman" w:hAnsi="Times New Roman"/>
          <w:b/>
          <w:color w:val="000000"/>
          <w:sz w:val="24"/>
          <w:szCs w:val="24"/>
        </w:rPr>
        <w:t xml:space="preserve">The </w:t>
      </w:r>
      <w:r w:rsidR="00C7385A">
        <w:rPr>
          <w:rStyle w:val="HTMLTypewriter"/>
          <w:rFonts w:ascii="Times New Roman" w:hAnsi="Times New Roman"/>
          <w:b/>
          <w:color w:val="000000"/>
          <w:sz w:val="24"/>
          <w:szCs w:val="24"/>
        </w:rPr>
        <w:t>Polemic against Freedom as S</w:t>
      </w:r>
      <w:r w:rsidR="004D58F0">
        <w:rPr>
          <w:rStyle w:val="HTMLTypewriter"/>
          <w:rFonts w:ascii="Times New Roman" w:hAnsi="Times New Roman"/>
          <w:b/>
          <w:color w:val="000000"/>
          <w:sz w:val="24"/>
          <w:szCs w:val="24"/>
        </w:rPr>
        <w:t>overeignty</w:t>
      </w:r>
    </w:p>
    <w:p w14:paraId="60A98A22" w14:textId="77777777" w:rsidR="0021792D" w:rsidRPr="00E41015" w:rsidRDefault="0021792D" w:rsidP="008C655A">
      <w:pPr>
        <w:ind w:firstLine="720"/>
        <w:rPr>
          <w:rStyle w:val="HTMLTypewriter"/>
          <w:rFonts w:ascii="Times New Roman" w:hAnsi="Times New Roman"/>
          <w:color w:val="000000"/>
          <w:sz w:val="24"/>
          <w:szCs w:val="24"/>
        </w:rPr>
      </w:pPr>
    </w:p>
    <w:p w14:paraId="632524AC" w14:textId="77777777" w:rsidR="00AA4825" w:rsidRDefault="006C2F65" w:rsidP="00AA4825">
      <w:pPr>
        <w:ind w:firstLine="720"/>
        <w:rPr>
          <w:rStyle w:val="HTMLTypewriter"/>
          <w:rFonts w:ascii="Times New Roman" w:hAnsi="Times New Roman"/>
          <w:color w:val="000000"/>
          <w:sz w:val="24"/>
          <w:szCs w:val="24"/>
        </w:rPr>
      </w:pPr>
      <w:r>
        <w:rPr>
          <w:rStyle w:val="HTMLTypewriter"/>
          <w:rFonts w:ascii="Times New Roman" w:hAnsi="Times New Roman"/>
          <w:i/>
          <w:color w:val="000000"/>
          <w:sz w:val="24"/>
          <w:szCs w:val="24"/>
        </w:rPr>
        <w:t xml:space="preserve">The Human Condition </w:t>
      </w:r>
      <w:r>
        <w:rPr>
          <w:rStyle w:val="HTMLTypewriter"/>
          <w:rFonts w:ascii="Times New Roman" w:hAnsi="Times New Roman"/>
          <w:color w:val="000000"/>
          <w:sz w:val="24"/>
          <w:szCs w:val="24"/>
        </w:rPr>
        <w:t>is polemical from start to finish, but it is also constructive. The polemic is directed against threats</w:t>
      </w:r>
      <w:r w:rsidR="004045C3">
        <w:rPr>
          <w:rStyle w:val="HTMLTypewriter"/>
          <w:rFonts w:ascii="Times New Roman" w:hAnsi="Times New Roman"/>
          <w:color w:val="000000"/>
          <w:sz w:val="24"/>
          <w:szCs w:val="24"/>
        </w:rPr>
        <w:t xml:space="preserve"> </w:t>
      </w:r>
      <w:r>
        <w:rPr>
          <w:rStyle w:val="HTMLTypewriter"/>
          <w:rFonts w:ascii="Times New Roman" w:hAnsi="Times New Roman"/>
          <w:color w:val="000000"/>
          <w:sz w:val="24"/>
          <w:szCs w:val="24"/>
        </w:rPr>
        <w:t xml:space="preserve">to freedom in the modern age, threats from Marxism and liberalism. The positive argument is directed towards freedom, freedom defined as action, “freedom of world” (31). Chapters two and six are the backbone of the polemic. Chapters one, three, four, and five form the </w:t>
      </w:r>
      <w:r w:rsidR="00AA4825">
        <w:rPr>
          <w:rStyle w:val="HTMLTypewriter"/>
          <w:rFonts w:ascii="Times New Roman" w:hAnsi="Times New Roman"/>
          <w:color w:val="000000"/>
          <w:sz w:val="24"/>
          <w:szCs w:val="24"/>
        </w:rPr>
        <w:t xml:space="preserve">core of her constructive argument. Each chapter, however, carries forward both trains of thought. </w:t>
      </w:r>
    </w:p>
    <w:p w14:paraId="22FCD106" w14:textId="77777777" w:rsidR="00AA4825" w:rsidRDefault="00AA4825"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Chapter one pits the </w:t>
      </w:r>
      <w:r>
        <w:rPr>
          <w:rStyle w:val="HTMLTypewriter"/>
          <w:rFonts w:ascii="Times New Roman" w:hAnsi="Times New Roman"/>
          <w:i/>
          <w:color w:val="000000"/>
          <w:sz w:val="24"/>
          <w:szCs w:val="24"/>
        </w:rPr>
        <w:t xml:space="preserve">vita </w:t>
      </w:r>
      <w:proofErr w:type="spellStart"/>
      <w:r w:rsidR="00320DFF" w:rsidRPr="00404B5E">
        <w:rPr>
          <w:rStyle w:val="HTMLTypewriter"/>
          <w:rFonts w:ascii="Times New Roman" w:hAnsi="Times New Roman"/>
          <w:i/>
          <w:color w:val="000000"/>
          <w:sz w:val="24"/>
          <w:szCs w:val="24"/>
        </w:rPr>
        <w:t>activa</w:t>
      </w:r>
      <w:proofErr w:type="spellEnd"/>
      <w:r>
        <w:rPr>
          <w:rStyle w:val="HTMLTypewriter"/>
          <w:rFonts w:ascii="Times New Roman" w:hAnsi="Times New Roman"/>
          <w:color w:val="000000"/>
          <w:sz w:val="24"/>
          <w:szCs w:val="24"/>
        </w:rPr>
        <w:t xml:space="preserve"> against the </w:t>
      </w:r>
      <w:r w:rsidRPr="00AA4825">
        <w:rPr>
          <w:rStyle w:val="HTMLTypewriter"/>
          <w:rFonts w:ascii="Times New Roman" w:hAnsi="Times New Roman"/>
          <w:i/>
          <w:color w:val="000000"/>
          <w:sz w:val="24"/>
          <w:szCs w:val="24"/>
        </w:rPr>
        <w:t xml:space="preserve">vita </w:t>
      </w:r>
      <w:r>
        <w:rPr>
          <w:rStyle w:val="HTMLTypewriter"/>
          <w:rFonts w:ascii="Times New Roman" w:hAnsi="Times New Roman"/>
          <w:i/>
          <w:color w:val="000000"/>
          <w:sz w:val="24"/>
          <w:szCs w:val="24"/>
        </w:rPr>
        <w:t>contemplative</w:t>
      </w:r>
      <w:r>
        <w:rPr>
          <w:rStyle w:val="HTMLTypewriter"/>
          <w:rFonts w:ascii="Times New Roman" w:hAnsi="Times New Roman"/>
          <w:color w:val="000000"/>
          <w:sz w:val="24"/>
          <w:szCs w:val="24"/>
        </w:rPr>
        <w:t>, action versus contemplation, as the preeminent capacity of man, “a life devoted to public-political matters” (12) versus a life devoted to the non-activity of contemplation, a life devoted to striving for immortality versus a life de</w:t>
      </w:r>
      <w:r w:rsidR="009E3AF0">
        <w:rPr>
          <w:rStyle w:val="HTMLTypewriter"/>
          <w:rFonts w:ascii="Times New Roman" w:hAnsi="Times New Roman"/>
          <w:color w:val="000000"/>
          <w:sz w:val="24"/>
          <w:szCs w:val="24"/>
        </w:rPr>
        <w:t>voted to eternity (Section #3).</w:t>
      </w:r>
    </w:p>
    <w:p w14:paraId="57EB944B" w14:textId="77777777" w:rsidR="009E3AF0" w:rsidRDefault="009E3AF0"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Chapter two pits the distinction between private and public realms, sharply elaborated in classical antiquity, against their blurring and destruction, as a result of the rise of the social into the public realm in the modern age.</w:t>
      </w:r>
    </w:p>
    <w:p w14:paraId="03A4D52B" w14:textId="77777777" w:rsidR="009E3AF0" w:rsidRDefault="009E3AF0"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Chapter three is directed against mass society, consumer society, arising from modern theories of labor, Marxist and capitalist, that elevate labor to “the expression of the very humanity of man” (161). The constructive side of this chapter is directed towards locating labor in its proper place and order in the hierarchy of activities; that is, within the natural animal cycle of life in which man as </w:t>
      </w:r>
      <w:r w:rsidRPr="009E3AF0">
        <w:rPr>
          <w:rStyle w:val="HTMLTypewriter"/>
          <w:rFonts w:ascii="Times New Roman" w:hAnsi="Times New Roman"/>
          <w:i/>
          <w:color w:val="000000"/>
          <w:sz w:val="24"/>
          <w:szCs w:val="24"/>
        </w:rPr>
        <w:t>animal laborans</w:t>
      </w:r>
      <w:r>
        <w:rPr>
          <w:rStyle w:val="HTMLTypewriter"/>
          <w:rFonts w:ascii="Times New Roman" w:hAnsi="Times New Roman"/>
          <w:color w:val="000000"/>
          <w:sz w:val="24"/>
          <w:szCs w:val="24"/>
        </w:rPr>
        <w:t xml:space="preserve"> participates.</w:t>
      </w:r>
    </w:p>
    <w:p w14:paraId="659296E1" w14:textId="77777777" w:rsidR="009E3AF0" w:rsidRDefault="009E3AF0"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lastRenderedPageBreak/>
        <w:t xml:space="preserve">Chapter four is directed against philosophies, such as utilitarianism, that elevate </w:t>
      </w:r>
      <w:r w:rsidRPr="009E3AF0">
        <w:rPr>
          <w:rStyle w:val="HTMLTypewriter"/>
          <w:rFonts w:ascii="Times New Roman" w:hAnsi="Times New Roman"/>
          <w:color w:val="000000"/>
          <w:sz w:val="24"/>
          <w:szCs w:val="24"/>
          <w:u w:val="single"/>
        </w:rPr>
        <w:t>work</w:t>
      </w:r>
      <w:r>
        <w:rPr>
          <w:rStyle w:val="HTMLTypewriter"/>
          <w:rFonts w:ascii="Times New Roman" w:hAnsi="Times New Roman"/>
          <w:color w:val="000000"/>
          <w:sz w:val="24"/>
          <w:szCs w:val="24"/>
        </w:rPr>
        <w:t xml:space="preserve"> to that which defines </w:t>
      </w:r>
      <w:r w:rsidR="0022425A">
        <w:rPr>
          <w:rStyle w:val="HTMLTypewriter"/>
          <w:rFonts w:ascii="Times New Roman" w:hAnsi="Times New Roman"/>
          <w:color w:val="000000"/>
          <w:sz w:val="24"/>
          <w:szCs w:val="24"/>
        </w:rPr>
        <w:t>what</w:t>
      </w:r>
      <w:r>
        <w:rPr>
          <w:rStyle w:val="HTMLTypewriter"/>
          <w:rFonts w:ascii="Times New Roman" w:hAnsi="Times New Roman"/>
          <w:color w:val="000000"/>
          <w:sz w:val="24"/>
          <w:szCs w:val="24"/>
        </w:rPr>
        <w:t xml:space="preserve"> it means to be human. Again, the positive argument is directed towa</w:t>
      </w:r>
      <w:r w:rsidR="0022425A">
        <w:rPr>
          <w:rStyle w:val="HTMLTypewriter"/>
          <w:rFonts w:ascii="Times New Roman" w:hAnsi="Times New Roman"/>
          <w:color w:val="000000"/>
          <w:sz w:val="24"/>
          <w:szCs w:val="24"/>
        </w:rPr>
        <w:t>rds defining the proper place of</w:t>
      </w:r>
      <w:r>
        <w:rPr>
          <w:rStyle w:val="HTMLTypewriter"/>
          <w:rFonts w:ascii="Times New Roman" w:hAnsi="Times New Roman"/>
          <w:color w:val="000000"/>
          <w:sz w:val="24"/>
          <w:szCs w:val="24"/>
        </w:rPr>
        <w:t xml:space="preserve"> work as that which produces a stable, lasting human world, a world of durable things, </w:t>
      </w:r>
      <w:r w:rsidR="008B4A79">
        <w:rPr>
          <w:rStyle w:val="HTMLTypewriter"/>
          <w:rFonts w:ascii="Times New Roman" w:hAnsi="Times New Roman"/>
          <w:color w:val="000000"/>
          <w:sz w:val="24"/>
          <w:szCs w:val="24"/>
        </w:rPr>
        <w:t>distinct from the cyclical eternal return of subsistence life and labor on the one hand, and the frailty of the realm of action on the other.</w:t>
      </w:r>
    </w:p>
    <w:p w14:paraId="43B321C9" w14:textId="77777777" w:rsidR="008B4A79" w:rsidRPr="00225852" w:rsidRDefault="008B4A79"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Chapter five is the center of the constr</w:t>
      </w:r>
      <w:r w:rsidR="00225852">
        <w:rPr>
          <w:rStyle w:val="HTMLTypewriter"/>
          <w:rFonts w:ascii="Times New Roman" w:hAnsi="Times New Roman"/>
          <w:color w:val="000000"/>
          <w:sz w:val="24"/>
          <w:szCs w:val="24"/>
        </w:rPr>
        <w:t>uctive elaboration of action</w:t>
      </w:r>
      <w:r>
        <w:rPr>
          <w:rStyle w:val="HTMLTypewriter"/>
          <w:rFonts w:ascii="Times New Roman" w:hAnsi="Times New Roman"/>
          <w:color w:val="000000"/>
          <w:sz w:val="24"/>
          <w:szCs w:val="24"/>
        </w:rPr>
        <w:t xml:space="preserve"> as that which characterize the human person as human. It is the core of the book, a tour de force. The polemical train of thought in this chapter recapitulates and advances the case made in the previous chapters against labor and work as the supreme defining human capacities</w:t>
      </w:r>
      <w:r w:rsidR="00225852">
        <w:rPr>
          <w:rStyle w:val="HTMLTypewriter"/>
          <w:rFonts w:ascii="Times New Roman" w:hAnsi="Times New Roman"/>
          <w:color w:val="000000"/>
          <w:sz w:val="24"/>
          <w:szCs w:val="24"/>
        </w:rPr>
        <w:t xml:space="preserve">, as in this succinct summary, </w:t>
      </w:r>
      <w:r w:rsidR="0029016E">
        <w:rPr>
          <w:rStyle w:val="HTMLTypewriter"/>
          <w:rFonts w:ascii="Times New Roman" w:hAnsi="Times New Roman"/>
          <w:color w:val="000000"/>
          <w:sz w:val="24"/>
          <w:szCs w:val="24"/>
        </w:rPr>
        <w:t xml:space="preserve">setting </w:t>
      </w:r>
      <w:r w:rsidR="00225852">
        <w:rPr>
          <w:rStyle w:val="HTMLTypewriter"/>
          <w:rFonts w:ascii="Times New Roman" w:hAnsi="Times New Roman"/>
          <w:color w:val="000000"/>
          <w:sz w:val="24"/>
          <w:szCs w:val="24"/>
        </w:rPr>
        <w:t xml:space="preserve">the conviction that “the greatest that man can achieve is his own appearance and actualization” over against “the conviction of </w:t>
      </w:r>
      <w:r w:rsidR="00225852">
        <w:rPr>
          <w:rStyle w:val="HTMLTypewriter"/>
          <w:rFonts w:ascii="Times New Roman" w:hAnsi="Times New Roman"/>
          <w:i/>
          <w:color w:val="000000"/>
          <w:sz w:val="24"/>
          <w:szCs w:val="24"/>
        </w:rPr>
        <w:t xml:space="preserve">homo faber </w:t>
      </w:r>
      <w:r w:rsidR="00225852" w:rsidRPr="00225852">
        <w:rPr>
          <w:rStyle w:val="HTMLTypewriter"/>
          <w:rFonts w:ascii="Times New Roman" w:hAnsi="Times New Roman"/>
          <w:color w:val="000000"/>
          <w:sz w:val="24"/>
          <w:szCs w:val="24"/>
        </w:rPr>
        <w:t>that a man’s products may be more – an</w:t>
      </w:r>
      <w:r w:rsidR="0022425A">
        <w:rPr>
          <w:rStyle w:val="HTMLTypewriter"/>
          <w:rFonts w:ascii="Times New Roman" w:hAnsi="Times New Roman"/>
          <w:color w:val="000000"/>
          <w:sz w:val="24"/>
          <w:szCs w:val="24"/>
        </w:rPr>
        <w:t>d</w:t>
      </w:r>
      <w:r w:rsidR="00225852" w:rsidRPr="00225852">
        <w:rPr>
          <w:rStyle w:val="HTMLTypewriter"/>
          <w:rFonts w:ascii="Times New Roman" w:hAnsi="Times New Roman"/>
          <w:color w:val="000000"/>
          <w:sz w:val="24"/>
          <w:szCs w:val="24"/>
        </w:rPr>
        <w:t xml:space="preserve"> not only more lasting</w:t>
      </w:r>
      <w:r w:rsidR="00225852">
        <w:rPr>
          <w:rStyle w:val="HTMLTypewriter"/>
          <w:rFonts w:ascii="Times New Roman" w:hAnsi="Times New Roman"/>
          <w:color w:val="000000"/>
          <w:sz w:val="24"/>
          <w:szCs w:val="24"/>
        </w:rPr>
        <w:t xml:space="preserve"> - than he is himself, as well as the </w:t>
      </w:r>
      <w:r w:rsidR="00225852">
        <w:rPr>
          <w:rStyle w:val="HTMLTypewriter"/>
          <w:rFonts w:ascii="Times New Roman" w:hAnsi="Times New Roman"/>
          <w:i/>
          <w:color w:val="000000"/>
          <w:sz w:val="24"/>
          <w:szCs w:val="24"/>
        </w:rPr>
        <w:t>animal laborans’</w:t>
      </w:r>
      <w:r w:rsidR="00225852">
        <w:rPr>
          <w:rStyle w:val="HTMLTypewriter"/>
          <w:rFonts w:ascii="Times New Roman" w:hAnsi="Times New Roman"/>
          <w:color w:val="000000"/>
          <w:sz w:val="24"/>
          <w:szCs w:val="24"/>
        </w:rPr>
        <w:t xml:space="preserve"> form </w:t>
      </w:r>
      <w:r w:rsidR="0022425A">
        <w:rPr>
          <w:rStyle w:val="HTMLTypewriter"/>
          <w:rFonts w:ascii="Times New Roman" w:hAnsi="Times New Roman"/>
          <w:color w:val="000000"/>
          <w:sz w:val="24"/>
          <w:szCs w:val="24"/>
        </w:rPr>
        <w:t xml:space="preserve">of </w:t>
      </w:r>
      <w:r w:rsidR="00225852">
        <w:rPr>
          <w:rStyle w:val="HTMLTypewriter"/>
          <w:rFonts w:ascii="Times New Roman" w:hAnsi="Times New Roman"/>
          <w:color w:val="000000"/>
          <w:sz w:val="24"/>
          <w:szCs w:val="24"/>
        </w:rPr>
        <w:t>belief that life is the highest of all goods” (208).</w:t>
      </w:r>
    </w:p>
    <w:p w14:paraId="4A23F303" w14:textId="77777777" w:rsidR="008B4A79" w:rsidRDefault="008B4A79"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Finally, chapter six is the center of the polemical train of thought against the threats to freedom of the modern age, an age which, ironically, has prided itself as an age marked by its bringing of freedom to fruition. Arendt draws together the themes of the rise of the social from chapter two, with the victory of labor from chapter three, with a third major theme, the world-alienating, anti-political threat posed by modern science and philosophy.</w:t>
      </w:r>
    </w:p>
    <w:p w14:paraId="602E8F82" w14:textId="77777777" w:rsidR="008B4A79" w:rsidRDefault="008B4A79"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At issue in </w:t>
      </w:r>
      <w:r>
        <w:rPr>
          <w:rStyle w:val="HTMLTypewriter"/>
          <w:rFonts w:ascii="Times New Roman" w:hAnsi="Times New Roman"/>
          <w:i/>
          <w:color w:val="000000"/>
          <w:sz w:val="24"/>
          <w:szCs w:val="24"/>
        </w:rPr>
        <w:t>The Human Condition</w:t>
      </w:r>
      <w:r>
        <w:rPr>
          <w:rStyle w:val="HTMLTypewriter"/>
          <w:rFonts w:ascii="Times New Roman" w:hAnsi="Times New Roman"/>
          <w:color w:val="000000"/>
          <w:sz w:val="24"/>
          <w:szCs w:val="24"/>
        </w:rPr>
        <w:t xml:space="preserve"> are antithetical concepts of freedom. What the modern age – along with Christianity and philosophy from Plato on – calls freedom, Arendt regards as anti-freedom. Sovereignty, which defines freedom in these traditions, is, according to Arendt, “contradictory to the very condition of plurality,” and therefore incompatible with freedom (234). “No man can be sovereign because not one man, but </w:t>
      </w:r>
      <w:r w:rsidR="00177DB0">
        <w:rPr>
          <w:rStyle w:val="HTMLTypewriter"/>
          <w:rFonts w:ascii="Times New Roman" w:hAnsi="Times New Roman"/>
          <w:color w:val="000000"/>
          <w:sz w:val="24"/>
          <w:szCs w:val="24"/>
        </w:rPr>
        <w:t>men, inhabit the earth” (Ibid).</w:t>
      </w:r>
    </w:p>
    <w:p w14:paraId="75444AC3" w14:textId="77777777" w:rsidR="00177DB0" w:rsidRDefault="00474B30" w:rsidP="00AA4825">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The contention is between a notion of freedom conditioned by plurality, on the one hand, and a notion of freedom defined in terms of singularity. The “social” is antithetical to freedom because of i</w:t>
      </w:r>
      <w:r w:rsidR="00A209F3">
        <w:rPr>
          <w:rStyle w:val="HTMLTypewriter"/>
          <w:rFonts w:ascii="Times New Roman" w:hAnsi="Times New Roman"/>
          <w:color w:val="000000"/>
          <w:sz w:val="24"/>
          <w:szCs w:val="24"/>
        </w:rPr>
        <w:t xml:space="preserve">ts “monolithic” character, it’s </w:t>
      </w:r>
      <w:r>
        <w:rPr>
          <w:rStyle w:val="HTMLTypewriter"/>
          <w:rFonts w:ascii="Times New Roman" w:hAnsi="Times New Roman"/>
          <w:color w:val="000000"/>
          <w:sz w:val="24"/>
          <w:szCs w:val="24"/>
        </w:rPr>
        <w:t>conformism which allows for only one interest and one opinion.” It is “ultimately rooted in the one-ness of mankind” (46). Society “always demands that its members act as tho</w:t>
      </w:r>
      <w:r w:rsidR="00A209F3">
        <w:rPr>
          <w:rStyle w:val="HTMLTypewriter"/>
          <w:rFonts w:ascii="Times New Roman" w:hAnsi="Times New Roman"/>
          <w:color w:val="000000"/>
          <w:sz w:val="24"/>
          <w:szCs w:val="24"/>
        </w:rPr>
        <w:t>ugh they were members of one en</w:t>
      </w:r>
      <w:r>
        <w:rPr>
          <w:rStyle w:val="HTMLTypewriter"/>
          <w:rFonts w:ascii="Times New Roman" w:hAnsi="Times New Roman"/>
          <w:color w:val="000000"/>
          <w:sz w:val="24"/>
          <w:szCs w:val="24"/>
        </w:rPr>
        <w:t>ormous family which has only one opinion and one interest” (39).</w:t>
      </w:r>
    </w:p>
    <w:p w14:paraId="57F50131" w14:textId="77777777" w:rsidR="00A209F3" w:rsidRPr="00E41015" w:rsidRDefault="00A209F3" w:rsidP="00A209F3">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Nothing could be more antithetical to this pluralistic epistemology that is the condition of action than the solipsistic introspective epistemology of modern philosophy which drives man in to the prison of his own mind. </w:t>
      </w:r>
      <w:r w:rsidRPr="00E41015">
        <w:rPr>
          <w:rStyle w:val="HTMLTypewriter"/>
          <w:rFonts w:ascii="Times New Roman" w:hAnsi="Times New Roman"/>
          <w:color w:val="000000"/>
          <w:sz w:val="24"/>
          <w:szCs w:val="24"/>
        </w:rPr>
        <w:t xml:space="preserve">When men become entirely private, as in the case of modern introspection, “they are all imprisoned in the subjectivity of their own singular experience, which does not cease to be singular if the same experience is multiplied innumerable times. The end of the common world has come when it is seen only under one aspect and is permitted to present itself in only one perspective” (58). The end of the common world means the end of the unique distinctness of persons, the impossibility of the appearance of another “who” as a unique individual, the end of the “outside,” as Andrei Codrescu puts it in </w:t>
      </w:r>
      <w:r w:rsidRPr="00E41015">
        <w:rPr>
          <w:rStyle w:val="HTMLTypewriter"/>
          <w:rFonts w:ascii="Times New Roman" w:hAnsi="Times New Roman"/>
          <w:i/>
          <w:color w:val="000000"/>
          <w:sz w:val="24"/>
          <w:szCs w:val="24"/>
        </w:rPr>
        <w:t>the Disappearance of the Outside: A Manifesto for Escape</w:t>
      </w:r>
      <w:r w:rsidRPr="00E41015">
        <w:rPr>
          <w:rStyle w:val="HTMLTypewriter"/>
          <w:rFonts w:ascii="Times New Roman" w:hAnsi="Times New Roman"/>
          <w:color w:val="000000"/>
          <w:sz w:val="24"/>
          <w:szCs w:val="24"/>
        </w:rPr>
        <w:t xml:space="preserve">, Reading: Mass: Addison-Wesley, 1990). </w:t>
      </w:r>
    </w:p>
    <w:p w14:paraId="6D3B9348" w14:textId="77777777" w:rsidR="006A3398" w:rsidRPr="006A3398" w:rsidRDefault="006A3398" w:rsidP="00474B30">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At moments the intensity of the polemic</w:t>
      </w:r>
      <w:r w:rsidR="009665BD">
        <w:rPr>
          <w:rStyle w:val="HTMLTypewriter"/>
          <w:rFonts w:ascii="Times New Roman" w:hAnsi="Times New Roman"/>
          <w:color w:val="000000"/>
          <w:sz w:val="24"/>
          <w:szCs w:val="24"/>
        </w:rPr>
        <w:t xml:space="preserve"> </w:t>
      </w:r>
      <w:r>
        <w:rPr>
          <w:rStyle w:val="HTMLTypewriter"/>
          <w:rFonts w:ascii="Times New Roman" w:hAnsi="Times New Roman"/>
          <w:color w:val="000000"/>
          <w:sz w:val="24"/>
          <w:szCs w:val="24"/>
        </w:rPr>
        <w:t xml:space="preserve"> – “cruelest and most tyrannical,” (40), “deadliest, most sterile passivity history has ever known” (322),  “depravity”</w:t>
      </w:r>
      <w:r w:rsidR="00235B4F">
        <w:rPr>
          <w:rStyle w:val="HTMLTypewriter"/>
          <w:rFonts w:ascii="Times New Roman" w:hAnsi="Times New Roman"/>
          <w:color w:val="000000"/>
          <w:sz w:val="24"/>
          <w:szCs w:val="24"/>
        </w:rPr>
        <w:t xml:space="preserve"> (310), the “highest” is the “emptiest” (320)</w:t>
      </w:r>
      <w:r>
        <w:rPr>
          <w:rStyle w:val="HTMLTypewriter"/>
          <w:rFonts w:ascii="Times New Roman" w:hAnsi="Times New Roman"/>
          <w:color w:val="000000"/>
          <w:sz w:val="24"/>
          <w:szCs w:val="24"/>
        </w:rPr>
        <w:t xml:space="preserve"> - hints at the larger project of political criticism and </w:t>
      </w:r>
      <w:r>
        <w:rPr>
          <w:rStyle w:val="HTMLTypewriter"/>
          <w:rFonts w:ascii="Times New Roman" w:hAnsi="Times New Roman"/>
          <w:color w:val="000000"/>
          <w:sz w:val="24"/>
          <w:szCs w:val="24"/>
        </w:rPr>
        <w:lastRenderedPageBreak/>
        <w:t xml:space="preserve">resistance occupying Arendt from 1933 on at least. Margaret </w:t>
      </w:r>
      <w:proofErr w:type="spellStart"/>
      <w:r>
        <w:rPr>
          <w:rStyle w:val="HTMLTypewriter"/>
          <w:rFonts w:ascii="Times New Roman" w:hAnsi="Times New Roman"/>
          <w:color w:val="000000"/>
          <w:sz w:val="24"/>
          <w:szCs w:val="24"/>
        </w:rPr>
        <w:t>Canovan</w:t>
      </w:r>
      <w:proofErr w:type="spellEnd"/>
      <w:r>
        <w:rPr>
          <w:rStyle w:val="HTMLTypewriter"/>
          <w:rFonts w:ascii="Times New Roman" w:hAnsi="Times New Roman"/>
          <w:color w:val="000000"/>
          <w:sz w:val="24"/>
          <w:szCs w:val="24"/>
        </w:rPr>
        <w:t xml:space="preserve"> argues that </w:t>
      </w:r>
      <w:r>
        <w:rPr>
          <w:rStyle w:val="HTMLTypewriter"/>
          <w:rFonts w:ascii="Times New Roman" w:hAnsi="Times New Roman"/>
          <w:i/>
          <w:color w:val="000000"/>
          <w:sz w:val="24"/>
          <w:szCs w:val="24"/>
        </w:rPr>
        <w:t>The Human Condition</w:t>
      </w:r>
      <w:r>
        <w:rPr>
          <w:rStyle w:val="HTMLTypewriter"/>
          <w:rFonts w:ascii="Times New Roman" w:hAnsi="Times New Roman"/>
          <w:color w:val="000000"/>
          <w:sz w:val="24"/>
          <w:szCs w:val="24"/>
        </w:rPr>
        <w:t xml:space="preserve"> can only be understood in the context of </w:t>
      </w:r>
      <w:r w:rsidRPr="006A3398">
        <w:rPr>
          <w:rStyle w:val="HTMLTypewriter"/>
          <w:rFonts w:ascii="Times New Roman" w:hAnsi="Times New Roman"/>
          <w:i/>
          <w:color w:val="000000"/>
          <w:sz w:val="24"/>
          <w:szCs w:val="24"/>
        </w:rPr>
        <w:t>Origins of Totali</w:t>
      </w:r>
      <w:r>
        <w:rPr>
          <w:rStyle w:val="HTMLTypewriter"/>
          <w:rFonts w:ascii="Times New Roman" w:hAnsi="Times New Roman"/>
          <w:i/>
          <w:color w:val="000000"/>
          <w:sz w:val="24"/>
          <w:szCs w:val="24"/>
        </w:rPr>
        <w:t>tarianism.</w:t>
      </w:r>
      <w:r>
        <w:rPr>
          <w:rStyle w:val="FootnoteReference"/>
          <w:i/>
          <w:color w:val="000000"/>
        </w:rPr>
        <w:footnoteReference w:id="16"/>
      </w:r>
      <w:r w:rsidR="001D76B7">
        <w:rPr>
          <w:rStyle w:val="HTMLTypewriter"/>
          <w:rFonts w:ascii="Times New Roman" w:hAnsi="Times New Roman"/>
          <w:color w:val="000000"/>
          <w:sz w:val="24"/>
          <w:szCs w:val="24"/>
        </w:rPr>
        <w:t xml:space="preserve"> “T</w:t>
      </w:r>
      <w:r>
        <w:rPr>
          <w:rStyle w:val="HTMLTypewriter"/>
          <w:rFonts w:ascii="Times New Roman" w:hAnsi="Times New Roman"/>
          <w:color w:val="000000"/>
          <w:sz w:val="24"/>
          <w:szCs w:val="24"/>
        </w:rPr>
        <w:t xml:space="preserve">he main themes of </w:t>
      </w:r>
      <w:r>
        <w:rPr>
          <w:rStyle w:val="HTMLTypewriter"/>
          <w:rFonts w:ascii="Times New Roman" w:hAnsi="Times New Roman"/>
          <w:i/>
          <w:color w:val="000000"/>
          <w:sz w:val="24"/>
          <w:szCs w:val="24"/>
        </w:rPr>
        <w:t>The Human Condition</w:t>
      </w:r>
      <w:r>
        <w:rPr>
          <w:rStyle w:val="HTMLTypewriter"/>
          <w:rFonts w:ascii="Times New Roman" w:hAnsi="Times New Roman"/>
          <w:color w:val="000000"/>
          <w:sz w:val="24"/>
          <w:szCs w:val="24"/>
        </w:rPr>
        <w:t xml:space="preserve">,” she says, </w:t>
      </w:r>
      <w:r w:rsidR="001D76B7">
        <w:rPr>
          <w:rStyle w:val="HTMLTypewriter"/>
          <w:rFonts w:ascii="Times New Roman" w:hAnsi="Times New Roman"/>
          <w:color w:val="000000"/>
          <w:sz w:val="24"/>
          <w:szCs w:val="24"/>
        </w:rPr>
        <w:t>“follow directly from the trains of thought that we have seen her developing out of her reflections on totalitarianism” (103).</w:t>
      </w:r>
    </w:p>
    <w:p w14:paraId="218E333C" w14:textId="77777777" w:rsidR="006A3398" w:rsidRDefault="006A3398" w:rsidP="00474B30">
      <w:pPr>
        <w:ind w:firstLine="720"/>
        <w:rPr>
          <w:rStyle w:val="HTMLTypewriter"/>
          <w:rFonts w:ascii="Times New Roman" w:hAnsi="Times New Roman"/>
          <w:color w:val="000000"/>
          <w:sz w:val="24"/>
          <w:szCs w:val="24"/>
        </w:rPr>
      </w:pPr>
    </w:p>
    <w:p w14:paraId="675044DC" w14:textId="77777777" w:rsidR="006A3398" w:rsidRPr="007B1FB1" w:rsidRDefault="00692C9B" w:rsidP="007B1FB1">
      <w:pP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 xml:space="preserve">B. </w:t>
      </w:r>
      <w:r w:rsidR="00C7385A">
        <w:rPr>
          <w:rStyle w:val="HTMLTypewriter"/>
          <w:rFonts w:ascii="Times New Roman" w:hAnsi="Times New Roman"/>
          <w:b/>
          <w:color w:val="000000"/>
          <w:sz w:val="24"/>
          <w:szCs w:val="24"/>
        </w:rPr>
        <w:t>F</w:t>
      </w:r>
      <w:r w:rsidR="007B1FB1">
        <w:rPr>
          <w:rStyle w:val="HTMLTypewriter"/>
          <w:rFonts w:ascii="Times New Roman" w:hAnsi="Times New Roman"/>
          <w:b/>
          <w:color w:val="000000"/>
          <w:sz w:val="24"/>
          <w:szCs w:val="24"/>
        </w:rPr>
        <w:t>reedom as non-sovereignty</w:t>
      </w:r>
      <w:r w:rsidR="0077076F">
        <w:rPr>
          <w:rStyle w:val="FootnoteReference"/>
          <w:b/>
          <w:color w:val="000000"/>
        </w:rPr>
        <w:footnoteReference w:id="17"/>
      </w:r>
    </w:p>
    <w:p w14:paraId="0D6E9161" w14:textId="77777777" w:rsidR="007B1FB1" w:rsidRDefault="007B1FB1" w:rsidP="007B1FB1">
      <w:pPr>
        <w:rPr>
          <w:rStyle w:val="HTMLTypewriter"/>
          <w:rFonts w:ascii="Times New Roman" w:hAnsi="Times New Roman"/>
          <w:color w:val="000000"/>
          <w:sz w:val="24"/>
          <w:szCs w:val="24"/>
        </w:rPr>
      </w:pPr>
    </w:p>
    <w:p w14:paraId="65CBE777" w14:textId="77777777" w:rsidR="00E97DEB" w:rsidRPr="00E41015" w:rsidRDefault="00E97DEB" w:rsidP="00E97DEB">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Turning from the polemic to the constructive side, Arendt’s concept of non-sov</w:t>
      </w:r>
      <w:r w:rsidR="008637D0">
        <w:rPr>
          <w:rStyle w:val="HTMLTypewriter"/>
          <w:rFonts w:ascii="Times New Roman" w:hAnsi="Times New Roman"/>
          <w:color w:val="000000"/>
          <w:sz w:val="24"/>
          <w:szCs w:val="24"/>
        </w:rPr>
        <w:t>e</w:t>
      </w:r>
      <w:r>
        <w:rPr>
          <w:rStyle w:val="HTMLTypewriter"/>
          <w:rFonts w:ascii="Times New Roman" w:hAnsi="Times New Roman"/>
          <w:color w:val="000000"/>
          <w:sz w:val="24"/>
          <w:szCs w:val="24"/>
        </w:rPr>
        <w:t xml:space="preserve">reign freedom is, </w:t>
      </w:r>
      <w:r w:rsidRPr="00E41015">
        <w:rPr>
          <w:rStyle w:val="HTMLTypewriter"/>
          <w:rFonts w:ascii="Times New Roman" w:hAnsi="Times New Roman"/>
          <w:color w:val="000000"/>
          <w:sz w:val="24"/>
          <w:szCs w:val="24"/>
        </w:rPr>
        <w:t>I believe, the core of the b</w:t>
      </w:r>
      <w:r>
        <w:rPr>
          <w:rStyle w:val="HTMLTypewriter"/>
          <w:rFonts w:ascii="Times New Roman" w:hAnsi="Times New Roman"/>
          <w:color w:val="000000"/>
          <w:sz w:val="24"/>
          <w:szCs w:val="24"/>
        </w:rPr>
        <w:t>ook, its most fundamental claim</w:t>
      </w:r>
      <w:r w:rsidR="0041163A">
        <w:rPr>
          <w:rStyle w:val="HTMLTypewriter"/>
          <w:rFonts w:ascii="Times New Roman" w:hAnsi="Times New Roman"/>
          <w:color w:val="000000"/>
          <w:sz w:val="24"/>
          <w:szCs w:val="24"/>
        </w:rPr>
        <w:t xml:space="preserve">, and its </w:t>
      </w:r>
      <w:r w:rsidRPr="00E41015">
        <w:rPr>
          <w:rStyle w:val="HTMLTypewriter"/>
          <w:rFonts w:ascii="Times New Roman" w:hAnsi="Times New Roman"/>
          <w:color w:val="000000"/>
          <w:sz w:val="24"/>
          <w:szCs w:val="24"/>
        </w:rPr>
        <w:t xml:space="preserve">most radical departure from the tradition of both philosophical and political thought. </w:t>
      </w:r>
      <w:r w:rsidR="00297AB2">
        <w:rPr>
          <w:rStyle w:val="HTMLTypewriter"/>
          <w:rFonts w:ascii="Times New Roman" w:hAnsi="Times New Roman"/>
          <w:color w:val="000000"/>
          <w:sz w:val="24"/>
          <w:szCs w:val="24"/>
        </w:rPr>
        <w:t>Non-sovereignty, “man’s inability to rely upon himself or have complete faith in himself,” is the opposite of freedom conceived as “uncompromising self-sufficiency and mastership,” which is what constitutes sovereignty as freedom (234).</w:t>
      </w:r>
    </w:p>
    <w:p w14:paraId="5A7BA708" w14:textId="77777777" w:rsidR="00BD41DB" w:rsidRDefault="00474B30" w:rsidP="00062FEE">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While no one has articulated the unique distinctness of personhood that is at stake in freedom more richly than Arendt, she has done so in such a way as to make plurality integral t</w:t>
      </w:r>
      <w:r w:rsidR="00297AB2">
        <w:rPr>
          <w:rStyle w:val="HTMLTypewriter"/>
          <w:rFonts w:ascii="Times New Roman" w:hAnsi="Times New Roman"/>
          <w:color w:val="000000"/>
          <w:sz w:val="24"/>
          <w:szCs w:val="24"/>
        </w:rPr>
        <w:t xml:space="preserve">o the free action of personhood. </w:t>
      </w:r>
      <w:r>
        <w:rPr>
          <w:rStyle w:val="HTMLTypewriter"/>
          <w:rFonts w:ascii="Times New Roman" w:hAnsi="Times New Roman"/>
          <w:color w:val="000000"/>
          <w:sz w:val="24"/>
          <w:szCs w:val="24"/>
        </w:rPr>
        <w:t xml:space="preserve"> </w:t>
      </w:r>
      <w:r w:rsidR="004B180B">
        <w:rPr>
          <w:rStyle w:val="HTMLTypewriter"/>
          <w:rFonts w:ascii="Times New Roman" w:hAnsi="Times New Roman"/>
          <w:color w:val="000000"/>
          <w:sz w:val="24"/>
          <w:szCs w:val="24"/>
        </w:rPr>
        <w:t>H</w:t>
      </w:r>
      <w:r>
        <w:rPr>
          <w:rStyle w:val="HTMLTypewriter"/>
          <w:rFonts w:ascii="Times New Roman" w:hAnsi="Times New Roman"/>
          <w:color w:val="000000"/>
          <w:sz w:val="24"/>
          <w:szCs w:val="24"/>
        </w:rPr>
        <w:t>er notion of freedom turns ma</w:t>
      </w:r>
      <w:r w:rsidR="00117542">
        <w:rPr>
          <w:rStyle w:val="HTMLTypewriter"/>
          <w:rFonts w:ascii="Times New Roman" w:hAnsi="Times New Roman"/>
          <w:color w:val="000000"/>
          <w:sz w:val="24"/>
          <w:szCs w:val="24"/>
        </w:rPr>
        <w:t xml:space="preserve">n towards the world, not </w:t>
      </w:r>
      <w:r w:rsidR="00476FA3">
        <w:rPr>
          <w:rStyle w:val="HTMLTypewriter"/>
          <w:rFonts w:ascii="Times New Roman" w:hAnsi="Times New Roman"/>
          <w:color w:val="000000"/>
          <w:sz w:val="24"/>
          <w:szCs w:val="24"/>
        </w:rPr>
        <w:t>a</w:t>
      </w:r>
      <w:r w:rsidR="00117542">
        <w:rPr>
          <w:rStyle w:val="HTMLTypewriter"/>
          <w:rFonts w:ascii="Times New Roman" w:hAnsi="Times New Roman"/>
          <w:color w:val="000000"/>
          <w:sz w:val="24"/>
          <w:szCs w:val="24"/>
        </w:rPr>
        <w:t>way, di</w:t>
      </w:r>
      <w:r>
        <w:rPr>
          <w:rStyle w:val="HTMLTypewriter"/>
          <w:rFonts w:ascii="Times New Roman" w:hAnsi="Times New Roman"/>
          <w:color w:val="000000"/>
          <w:sz w:val="24"/>
          <w:szCs w:val="24"/>
        </w:rPr>
        <w:t xml:space="preserve">gnifies the public realm, rather than demeaning it. </w:t>
      </w:r>
      <w:r w:rsidR="00C900E2">
        <w:rPr>
          <w:rStyle w:val="HTMLTypewriter"/>
          <w:rFonts w:ascii="Times New Roman" w:hAnsi="Times New Roman"/>
          <w:color w:val="000000"/>
          <w:sz w:val="24"/>
          <w:szCs w:val="24"/>
        </w:rPr>
        <w:t xml:space="preserve">Freedom involves “the joy of inhabiting together with others a world” (244). </w:t>
      </w:r>
    </w:p>
    <w:p w14:paraId="54C3BFD6" w14:textId="77777777" w:rsidR="00062FEE" w:rsidRDefault="000E425A" w:rsidP="00062FEE">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Her concept of plur</w:t>
      </w:r>
      <w:r w:rsidR="008D7562">
        <w:rPr>
          <w:rStyle w:val="HTMLTypewriter"/>
          <w:rFonts w:ascii="Times New Roman" w:hAnsi="Times New Roman"/>
          <w:color w:val="000000"/>
          <w:sz w:val="24"/>
          <w:szCs w:val="24"/>
        </w:rPr>
        <w:t>ality is connected to her notio</w:t>
      </w:r>
      <w:r>
        <w:rPr>
          <w:rStyle w:val="HTMLTypewriter"/>
          <w:rFonts w:ascii="Times New Roman" w:hAnsi="Times New Roman"/>
          <w:color w:val="000000"/>
          <w:sz w:val="24"/>
          <w:szCs w:val="24"/>
        </w:rPr>
        <w:t xml:space="preserve">n of a common world as “the common meeting ground of all” (57). </w:t>
      </w:r>
      <w:r w:rsidR="00474B30">
        <w:rPr>
          <w:rStyle w:val="HTMLTypewriter"/>
          <w:rFonts w:ascii="Times New Roman" w:hAnsi="Times New Roman"/>
          <w:color w:val="000000"/>
          <w:sz w:val="24"/>
          <w:szCs w:val="24"/>
        </w:rPr>
        <w:t xml:space="preserve">What men share is not a singular human nature or essence, </w:t>
      </w:r>
      <w:r w:rsidR="00444CE7">
        <w:rPr>
          <w:rStyle w:val="HTMLTypewriter"/>
          <w:rFonts w:ascii="Times New Roman" w:hAnsi="Times New Roman"/>
          <w:color w:val="000000"/>
          <w:sz w:val="24"/>
          <w:szCs w:val="24"/>
        </w:rPr>
        <w:t xml:space="preserve">but precisely a common world. </w:t>
      </w:r>
      <w:r>
        <w:rPr>
          <w:rStyle w:val="HTMLTypewriter"/>
          <w:rFonts w:ascii="Times New Roman" w:hAnsi="Times New Roman"/>
          <w:color w:val="000000"/>
          <w:sz w:val="24"/>
          <w:szCs w:val="24"/>
        </w:rPr>
        <w:t>“</w:t>
      </w:r>
      <w:r w:rsidR="00A56391">
        <w:rPr>
          <w:rStyle w:val="HTMLTypewriter"/>
          <w:rFonts w:ascii="Times New Roman" w:hAnsi="Times New Roman"/>
          <w:color w:val="000000"/>
          <w:sz w:val="24"/>
          <w:szCs w:val="24"/>
        </w:rPr>
        <w:t>U</w:t>
      </w:r>
      <w:r>
        <w:rPr>
          <w:rStyle w:val="HTMLTypewriter"/>
          <w:rFonts w:ascii="Times New Roman" w:hAnsi="Times New Roman"/>
          <w:color w:val="000000"/>
          <w:sz w:val="24"/>
          <w:szCs w:val="24"/>
        </w:rPr>
        <w:t xml:space="preserve">nder the conditions of a common world … everybody is always concerned with the same object” (57-8). The commonality of this common world, its public, shared appearance is only possible, she holds, on the basis of plurality. Its reality “relies on the simultaneous </w:t>
      </w:r>
      <w:r w:rsidR="00474B30">
        <w:rPr>
          <w:rStyle w:val="HTMLTypewriter"/>
          <w:rFonts w:ascii="Times New Roman" w:hAnsi="Times New Roman"/>
          <w:color w:val="000000"/>
          <w:sz w:val="24"/>
          <w:szCs w:val="24"/>
        </w:rPr>
        <w:t>presence of innumerable perspectives and aspects in which the common world presents itself</w:t>
      </w:r>
      <w:r>
        <w:rPr>
          <w:rStyle w:val="HTMLTypewriter"/>
          <w:rFonts w:ascii="Times New Roman" w:hAnsi="Times New Roman"/>
          <w:color w:val="000000"/>
          <w:sz w:val="24"/>
          <w:szCs w:val="24"/>
        </w:rPr>
        <w:t xml:space="preserve">.” Again, “only where things can be seen by many in a variety of aspects … </w:t>
      </w:r>
      <w:r w:rsidR="00C86EA9">
        <w:rPr>
          <w:rStyle w:val="HTMLTypewriter"/>
          <w:rFonts w:ascii="Times New Roman" w:hAnsi="Times New Roman"/>
          <w:color w:val="000000"/>
          <w:sz w:val="24"/>
          <w:szCs w:val="24"/>
        </w:rPr>
        <w:t>c</w:t>
      </w:r>
      <w:r>
        <w:rPr>
          <w:rStyle w:val="HTMLTypewriter"/>
          <w:rFonts w:ascii="Times New Roman" w:hAnsi="Times New Roman"/>
          <w:color w:val="000000"/>
          <w:sz w:val="24"/>
          <w:szCs w:val="24"/>
        </w:rPr>
        <w:t>an worldly reality truly and reliably appear” (57).</w:t>
      </w:r>
    </w:p>
    <w:p w14:paraId="74A35E17" w14:textId="77777777" w:rsidR="000E425A" w:rsidRDefault="000E425A" w:rsidP="00062FEE">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Commonality is impossible without plurality. Here is an instance of her conceptual radicality, bringing together two things across the binary divide entrenched in modern thought that does not allow commonality and plurality to be thought together as interdependent and mutually essential.</w:t>
      </w:r>
    </w:p>
    <w:p w14:paraId="3A5D8108" w14:textId="77777777" w:rsidR="000E425A" w:rsidRDefault="000E425A" w:rsidP="00062FEE">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The plurality of which she speaks is not a cliché, but the richly textured reality of the unexpected arising from the unique distinctness of persons. The common world of which she speaks is not a cliché either, but the richly elaborated thing-world of work.</w:t>
      </w:r>
    </w:p>
    <w:p w14:paraId="302BE04E" w14:textId="77777777" w:rsidR="000E425A" w:rsidRDefault="000E425A" w:rsidP="000E425A">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Conjoined with the miraculous unexpectedness of new beginnings, however, is the web of human relationships into which the actions of a person, a “who” always falls, starting “a new process which eventually emerges as the unique life story of the newcomer, affecting uniquely the life story of all those wi</w:t>
      </w:r>
      <w:r w:rsidR="00572C01">
        <w:rPr>
          <w:rStyle w:val="HTMLTypewriter"/>
          <w:rFonts w:ascii="Times New Roman" w:hAnsi="Times New Roman"/>
          <w:color w:val="000000"/>
          <w:sz w:val="24"/>
          <w:szCs w:val="24"/>
        </w:rPr>
        <w:t>th whom he comes into contact” (</w:t>
      </w:r>
      <w:r>
        <w:rPr>
          <w:rStyle w:val="HTMLTypewriter"/>
          <w:rFonts w:ascii="Times New Roman" w:hAnsi="Times New Roman"/>
          <w:color w:val="000000"/>
          <w:sz w:val="24"/>
          <w:szCs w:val="24"/>
        </w:rPr>
        <w:t xml:space="preserve">184). Again she links together two sides of a binary divide that the categories which define what we all know do not allow to bring together, namely, the porous, open, rich spaciousness of plurality that makes it possible for individual personhood to breathe and flourish, on the one hand, and the other face of plurality as a web that interferes. “It is </w:t>
      </w:r>
      <w:r>
        <w:rPr>
          <w:rStyle w:val="HTMLTypewriter"/>
          <w:rFonts w:ascii="Times New Roman" w:hAnsi="Times New Roman"/>
          <w:color w:val="000000"/>
          <w:sz w:val="24"/>
          <w:szCs w:val="24"/>
        </w:rPr>
        <w:lastRenderedPageBreak/>
        <w:t>because of this already existing web of human relationships, with its innumerable, conflicting wills and intentions, that action almost never achieves its purpose; but it is also because of this medium, in which action alone is real, that it ‘produces’ stories with or without intention” (184).</w:t>
      </w:r>
    </w:p>
    <w:p w14:paraId="1E48E65B" w14:textId="77777777" w:rsidR="000E425A" w:rsidRDefault="000E425A" w:rsidP="000E425A">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Seizing the totalitarian moment of mid-century to rethink what we do she has conceived a space unthinkable, inconceivable</w:t>
      </w:r>
      <w:r w:rsidR="00081092">
        <w:rPr>
          <w:rStyle w:val="HTMLTypewriter"/>
          <w:rFonts w:ascii="Times New Roman" w:hAnsi="Times New Roman"/>
          <w:color w:val="000000"/>
          <w:sz w:val="24"/>
          <w:szCs w:val="24"/>
        </w:rPr>
        <w:t xml:space="preserve"> within the tracks laid down by the modern age, conjoining plurality and commonness, the unique free distinctness of personhood and our web-like interconnectedness, the durability of the thing-world and the frailty of the space where we appear who we are to one another.</w:t>
      </w:r>
      <w:r w:rsidR="0077076F">
        <w:rPr>
          <w:rStyle w:val="FootnoteReference"/>
          <w:color w:val="000000"/>
        </w:rPr>
        <w:footnoteReference w:id="18"/>
      </w:r>
    </w:p>
    <w:p w14:paraId="6DB9F89D" w14:textId="77777777" w:rsidR="00582D57" w:rsidRPr="00E41015" w:rsidRDefault="008C31EE" w:rsidP="0025010F">
      <w:pPr>
        <w:rPr>
          <w:rStyle w:val="HTMLTypewriter"/>
          <w:rFonts w:ascii="Times New Roman" w:hAnsi="Times New Roman"/>
          <w:color w:val="000000"/>
          <w:sz w:val="24"/>
          <w:szCs w:val="24"/>
        </w:rPr>
      </w:pPr>
      <w:r>
        <w:rPr>
          <w:rStyle w:val="HTMLTypewriter"/>
          <w:rFonts w:ascii="Times New Roman" w:hAnsi="Times New Roman"/>
          <w:color w:val="000000"/>
          <w:sz w:val="24"/>
          <w:szCs w:val="24"/>
        </w:rPr>
        <w:tab/>
        <w:t>H</w:t>
      </w:r>
      <w:r w:rsidR="00CF70FF" w:rsidRPr="00E41015">
        <w:rPr>
          <w:rStyle w:val="HTMLTypewriter"/>
          <w:rFonts w:ascii="Times New Roman" w:hAnsi="Times New Roman"/>
          <w:color w:val="000000"/>
          <w:sz w:val="24"/>
          <w:szCs w:val="24"/>
        </w:rPr>
        <w:t>er claim is that not only i</w:t>
      </w:r>
      <w:r w:rsidR="00582D57" w:rsidRPr="00E41015">
        <w:rPr>
          <w:rStyle w:val="HTMLTypewriter"/>
          <w:rFonts w:ascii="Times New Roman" w:hAnsi="Times New Roman"/>
          <w:color w:val="000000"/>
          <w:sz w:val="24"/>
          <w:szCs w:val="24"/>
        </w:rPr>
        <w:t xml:space="preserve">s non-sovereign plurality essential to individuality, it is also essential to political association. Conversely, sovereignty not only is </w:t>
      </w:r>
      <w:r w:rsidR="00FA7016" w:rsidRPr="00E41015">
        <w:rPr>
          <w:rStyle w:val="HTMLTypewriter"/>
          <w:rFonts w:ascii="Times New Roman" w:hAnsi="Times New Roman"/>
          <w:color w:val="000000"/>
          <w:sz w:val="24"/>
          <w:szCs w:val="24"/>
        </w:rPr>
        <w:t>inimical</w:t>
      </w:r>
      <w:r w:rsidR="00582D57" w:rsidRPr="00E41015">
        <w:rPr>
          <w:rStyle w:val="HTMLTypewriter"/>
          <w:rFonts w:ascii="Times New Roman" w:hAnsi="Times New Roman"/>
          <w:color w:val="000000"/>
          <w:sz w:val="24"/>
          <w:szCs w:val="24"/>
        </w:rPr>
        <w:t xml:space="preserve"> to individual personhood, it is </w:t>
      </w:r>
      <w:r w:rsidR="00FA7016" w:rsidRPr="00E41015">
        <w:rPr>
          <w:rStyle w:val="HTMLTypewriter"/>
          <w:rFonts w:ascii="Times New Roman" w:hAnsi="Times New Roman"/>
          <w:color w:val="000000"/>
          <w:sz w:val="24"/>
          <w:szCs w:val="24"/>
        </w:rPr>
        <w:t>inimical</w:t>
      </w:r>
      <w:r w:rsidR="00582D57" w:rsidRPr="00E41015">
        <w:rPr>
          <w:rStyle w:val="HTMLTypewriter"/>
          <w:rFonts w:ascii="Times New Roman" w:hAnsi="Times New Roman"/>
          <w:color w:val="000000"/>
          <w:sz w:val="24"/>
          <w:szCs w:val="24"/>
        </w:rPr>
        <w:t xml:space="preserve"> to political association. Instead of pitting individuality against politicality, as the modern age has done, Arendt insists that they are interdependent. You can’t have one without the other. The eclipse of the political realm destroys individual personhood. Individuality is only possible under the condition of a common world. </w:t>
      </w:r>
    </w:p>
    <w:p w14:paraId="12838AC9" w14:textId="77777777" w:rsidR="00CF70FF" w:rsidRPr="00E41015" w:rsidRDefault="00CF70FF" w:rsidP="0025010F">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The opposition is between two conceptions of human being; two opposing conceptions of selfhood and association. The opposing views are summarized in the following diagram in terms of three contrasting features:</w:t>
      </w:r>
    </w:p>
    <w:p w14:paraId="5B6FFC23" w14:textId="77777777" w:rsidR="00CF70FF" w:rsidRPr="00E41015" w:rsidRDefault="00CF70FF" w:rsidP="0025010F">
      <w:pPr>
        <w:rPr>
          <w:rStyle w:val="HTMLTypewriter"/>
          <w:rFonts w:ascii="Times New Roman" w:hAnsi="Times New Roman"/>
          <w:color w:val="000000"/>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320"/>
        <w:gridCol w:w="2320"/>
      </w:tblGrid>
      <w:tr w:rsidR="00CF70FF" w:rsidRPr="00A01C85" w14:paraId="2D92B2E4" w14:textId="77777777" w:rsidTr="00A01C85">
        <w:trPr>
          <w:trHeight w:val="749"/>
        </w:trPr>
        <w:tc>
          <w:tcPr>
            <w:tcW w:w="1672" w:type="dxa"/>
            <w:shd w:val="clear" w:color="auto" w:fill="auto"/>
          </w:tcPr>
          <w:p w14:paraId="7228B09D"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ab/>
            </w:r>
          </w:p>
        </w:tc>
        <w:tc>
          <w:tcPr>
            <w:tcW w:w="2320" w:type="dxa"/>
            <w:shd w:val="clear" w:color="auto" w:fill="auto"/>
          </w:tcPr>
          <w:p w14:paraId="1E0C7870" w14:textId="77777777" w:rsidR="00CF70FF" w:rsidRPr="00A01C85" w:rsidRDefault="00CF70FF" w:rsidP="00CF70FF">
            <w:pPr>
              <w:rPr>
                <w:rStyle w:val="HTMLTypewriter"/>
                <w:rFonts w:ascii="Times New Roman" w:hAnsi="Times New Roman"/>
                <w:b/>
                <w:color w:val="000000"/>
                <w:sz w:val="24"/>
                <w:szCs w:val="24"/>
              </w:rPr>
            </w:pPr>
            <w:r w:rsidRPr="00A01C85">
              <w:rPr>
                <w:rStyle w:val="HTMLTypewriter"/>
                <w:rFonts w:ascii="Times New Roman" w:hAnsi="Times New Roman"/>
                <w:b/>
                <w:color w:val="000000"/>
                <w:sz w:val="24"/>
                <w:szCs w:val="24"/>
              </w:rPr>
              <w:t>Freedom</w:t>
            </w:r>
          </w:p>
        </w:tc>
        <w:tc>
          <w:tcPr>
            <w:tcW w:w="2320" w:type="dxa"/>
            <w:shd w:val="clear" w:color="auto" w:fill="auto"/>
          </w:tcPr>
          <w:p w14:paraId="5F752ED6" w14:textId="77777777" w:rsidR="00CF70FF" w:rsidRPr="00A01C85" w:rsidRDefault="00CF70FF" w:rsidP="00CF70FF">
            <w:pPr>
              <w:rPr>
                <w:rStyle w:val="HTMLTypewriter"/>
                <w:rFonts w:ascii="Times New Roman" w:hAnsi="Times New Roman"/>
                <w:b/>
                <w:color w:val="000000"/>
                <w:sz w:val="24"/>
                <w:szCs w:val="24"/>
              </w:rPr>
            </w:pPr>
            <w:r w:rsidRPr="00A01C85">
              <w:rPr>
                <w:rStyle w:val="HTMLTypewriter"/>
                <w:rFonts w:ascii="Times New Roman" w:hAnsi="Times New Roman"/>
                <w:b/>
                <w:color w:val="000000"/>
                <w:sz w:val="24"/>
                <w:szCs w:val="24"/>
              </w:rPr>
              <w:t>Sovereignty</w:t>
            </w:r>
          </w:p>
        </w:tc>
      </w:tr>
      <w:tr w:rsidR="00CF70FF" w:rsidRPr="00A01C85" w14:paraId="444F8295" w14:textId="77777777" w:rsidTr="00A01C85">
        <w:trPr>
          <w:trHeight w:val="749"/>
        </w:trPr>
        <w:tc>
          <w:tcPr>
            <w:tcW w:w="1672" w:type="dxa"/>
            <w:shd w:val="clear" w:color="auto" w:fill="auto"/>
          </w:tcPr>
          <w:p w14:paraId="6FE5A4ED" w14:textId="77777777" w:rsidR="00CF70FF" w:rsidRPr="00A01C85" w:rsidRDefault="00CF70FF" w:rsidP="00CF70FF">
            <w:pPr>
              <w:rPr>
                <w:rStyle w:val="HTMLTypewriter"/>
                <w:rFonts w:ascii="Times New Roman" w:hAnsi="Times New Roman"/>
                <w:i/>
                <w:color w:val="000000"/>
                <w:sz w:val="24"/>
                <w:szCs w:val="24"/>
              </w:rPr>
            </w:pPr>
            <w:r w:rsidRPr="00A01C85">
              <w:rPr>
                <w:rStyle w:val="HTMLTypewriter"/>
                <w:rFonts w:ascii="Times New Roman" w:hAnsi="Times New Roman"/>
                <w:i/>
                <w:color w:val="000000"/>
                <w:sz w:val="24"/>
                <w:szCs w:val="24"/>
              </w:rPr>
              <w:t>What is common</w:t>
            </w:r>
          </w:p>
        </w:tc>
        <w:tc>
          <w:tcPr>
            <w:tcW w:w="2320" w:type="dxa"/>
            <w:shd w:val="clear" w:color="auto" w:fill="auto"/>
          </w:tcPr>
          <w:p w14:paraId="57F4F89B"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A common world</w:t>
            </w:r>
          </w:p>
        </w:tc>
        <w:tc>
          <w:tcPr>
            <w:tcW w:w="2320" w:type="dxa"/>
            <w:shd w:val="clear" w:color="auto" w:fill="auto"/>
          </w:tcPr>
          <w:p w14:paraId="6BF22A59"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A common human nature</w:t>
            </w:r>
          </w:p>
        </w:tc>
      </w:tr>
      <w:tr w:rsidR="00CF70FF" w:rsidRPr="00A01C85" w14:paraId="0338766F" w14:textId="77777777" w:rsidTr="00A01C85">
        <w:trPr>
          <w:trHeight w:val="749"/>
        </w:trPr>
        <w:tc>
          <w:tcPr>
            <w:tcW w:w="1672" w:type="dxa"/>
            <w:shd w:val="clear" w:color="auto" w:fill="auto"/>
          </w:tcPr>
          <w:p w14:paraId="39515756" w14:textId="77777777" w:rsidR="00CF70FF" w:rsidRPr="00A01C85" w:rsidRDefault="00CF70FF" w:rsidP="00CF70FF">
            <w:pPr>
              <w:rPr>
                <w:rStyle w:val="HTMLTypewriter"/>
                <w:rFonts w:ascii="Times New Roman" w:hAnsi="Times New Roman"/>
                <w:i/>
                <w:color w:val="000000"/>
                <w:sz w:val="24"/>
                <w:szCs w:val="24"/>
              </w:rPr>
            </w:pPr>
            <w:r w:rsidRPr="00A01C85">
              <w:rPr>
                <w:rStyle w:val="HTMLTypewriter"/>
                <w:rFonts w:ascii="Times New Roman" w:hAnsi="Times New Roman"/>
                <w:i/>
                <w:color w:val="000000"/>
                <w:sz w:val="24"/>
                <w:szCs w:val="24"/>
              </w:rPr>
              <w:t>Principle of association</w:t>
            </w:r>
          </w:p>
        </w:tc>
        <w:tc>
          <w:tcPr>
            <w:tcW w:w="2320" w:type="dxa"/>
            <w:shd w:val="clear" w:color="auto" w:fill="auto"/>
          </w:tcPr>
          <w:p w14:paraId="0090437B"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Non-sovereign power, frailty</w:t>
            </w:r>
          </w:p>
        </w:tc>
        <w:tc>
          <w:tcPr>
            <w:tcW w:w="2320" w:type="dxa"/>
            <w:shd w:val="clear" w:color="auto" w:fill="auto"/>
          </w:tcPr>
          <w:p w14:paraId="397972DE"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Sovereign rule, force, strength, violence</w:t>
            </w:r>
          </w:p>
        </w:tc>
      </w:tr>
      <w:tr w:rsidR="00CF70FF" w:rsidRPr="00A01C85" w14:paraId="4529AF24" w14:textId="77777777" w:rsidTr="00A01C85">
        <w:trPr>
          <w:trHeight w:val="791"/>
        </w:trPr>
        <w:tc>
          <w:tcPr>
            <w:tcW w:w="1672" w:type="dxa"/>
            <w:shd w:val="clear" w:color="auto" w:fill="auto"/>
          </w:tcPr>
          <w:p w14:paraId="28243FB7" w14:textId="77777777" w:rsidR="00CF70FF" w:rsidRPr="00A01C85" w:rsidRDefault="00CF70FF" w:rsidP="00CF70FF">
            <w:pPr>
              <w:rPr>
                <w:rStyle w:val="HTMLTypewriter"/>
                <w:rFonts w:ascii="Times New Roman" w:hAnsi="Times New Roman"/>
                <w:i/>
                <w:color w:val="000000"/>
                <w:sz w:val="24"/>
                <w:szCs w:val="24"/>
              </w:rPr>
            </w:pPr>
            <w:r w:rsidRPr="00A01C85">
              <w:rPr>
                <w:rStyle w:val="HTMLTypewriter"/>
                <w:rFonts w:ascii="Times New Roman" w:hAnsi="Times New Roman"/>
                <w:i/>
                <w:color w:val="000000"/>
                <w:sz w:val="24"/>
                <w:szCs w:val="24"/>
              </w:rPr>
              <w:t>The individual</w:t>
            </w:r>
          </w:p>
        </w:tc>
        <w:tc>
          <w:tcPr>
            <w:tcW w:w="2320" w:type="dxa"/>
            <w:shd w:val="clear" w:color="auto" w:fill="auto"/>
          </w:tcPr>
          <w:p w14:paraId="11AD1C96"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 xml:space="preserve">Plurality of uniquely distinct persons; </w:t>
            </w:r>
          </w:p>
        </w:tc>
        <w:tc>
          <w:tcPr>
            <w:tcW w:w="2320" w:type="dxa"/>
            <w:shd w:val="clear" w:color="auto" w:fill="auto"/>
          </w:tcPr>
          <w:p w14:paraId="392E6D73" w14:textId="77777777" w:rsidR="00CF70FF" w:rsidRPr="00A01C85" w:rsidRDefault="00CF70FF" w:rsidP="00CF70FF">
            <w:pPr>
              <w:rPr>
                <w:rStyle w:val="HTMLTypewriter"/>
                <w:rFonts w:ascii="Times New Roman" w:hAnsi="Times New Roman"/>
                <w:color w:val="000000"/>
                <w:sz w:val="24"/>
                <w:szCs w:val="24"/>
              </w:rPr>
            </w:pPr>
            <w:r w:rsidRPr="00A01C85">
              <w:rPr>
                <w:rStyle w:val="HTMLTypewriter"/>
                <w:rFonts w:ascii="Times New Roman" w:hAnsi="Times New Roman"/>
                <w:color w:val="000000"/>
                <w:sz w:val="24"/>
                <w:szCs w:val="24"/>
              </w:rPr>
              <w:t>Introspection. Escape of the self into the prison of his own mind</w:t>
            </w:r>
            <w:r w:rsidR="0060172F" w:rsidRPr="00A01C85">
              <w:rPr>
                <w:rStyle w:val="HTMLTypewriter"/>
                <w:rFonts w:ascii="Times New Roman" w:hAnsi="Times New Roman"/>
                <w:color w:val="000000"/>
                <w:sz w:val="24"/>
                <w:szCs w:val="24"/>
              </w:rPr>
              <w:t xml:space="preserve">. </w:t>
            </w:r>
            <w:r w:rsidR="00B5689F" w:rsidRPr="00A01C85">
              <w:rPr>
                <w:rStyle w:val="HTMLTypewriter"/>
                <w:rFonts w:ascii="Times New Roman" w:hAnsi="Times New Roman"/>
                <w:color w:val="000000"/>
                <w:sz w:val="24"/>
                <w:szCs w:val="24"/>
              </w:rPr>
              <w:t>And t</w:t>
            </w:r>
            <w:r w:rsidR="0060172F" w:rsidRPr="00A01C85">
              <w:rPr>
                <w:rStyle w:val="HTMLTypewriter"/>
                <w:rFonts w:ascii="Times New Roman" w:hAnsi="Times New Roman"/>
                <w:color w:val="000000"/>
                <w:sz w:val="24"/>
                <w:szCs w:val="24"/>
              </w:rPr>
              <w:t>he “gigantic subject” of the collective self of “the social.”</w:t>
            </w:r>
          </w:p>
        </w:tc>
      </w:tr>
    </w:tbl>
    <w:p w14:paraId="6B30D42A" w14:textId="77777777" w:rsidR="00CF70FF" w:rsidRPr="00E41015" w:rsidRDefault="00CF70FF" w:rsidP="00CF70FF">
      <w:pPr>
        <w:rPr>
          <w:rStyle w:val="HTMLTypewriter"/>
          <w:rFonts w:ascii="Times New Roman" w:hAnsi="Times New Roman"/>
          <w:color w:val="000000"/>
          <w:sz w:val="24"/>
          <w:szCs w:val="24"/>
        </w:rPr>
      </w:pPr>
    </w:p>
    <w:p w14:paraId="4B48322A" w14:textId="77777777" w:rsidR="00CF70FF" w:rsidRDefault="00CF70FF" w:rsidP="00CF70FF">
      <w:pPr>
        <w:rPr>
          <w:rStyle w:val="HTMLTypewriter"/>
          <w:rFonts w:ascii="Times New Roman" w:hAnsi="Times New Roman"/>
          <w:color w:val="000000"/>
          <w:sz w:val="24"/>
          <w:szCs w:val="24"/>
        </w:rPr>
      </w:pPr>
    </w:p>
    <w:p w14:paraId="2BB9461B" w14:textId="77777777" w:rsidR="008B7C54" w:rsidRDefault="001D27E8" w:rsidP="008B7C54">
      <w:pP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C</w:t>
      </w:r>
      <w:r w:rsidR="00D7420F">
        <w:rPr>
          <w:rStyle w:val="HTMLTypewriter"/>
          <w:rFonts w:ascii="Times New Roman" w:hAnsi="Times New Roman"/>
          <w:b/>
          <w:color w:val="000000"/>
          <w:sz w:val="24"/>
          <w:szCs w:val="24"/>
        </w:rPr>
        <w:t xml:space="preserve">. </w:t>
      </w:r>
      <w:r w:rsidR="008B7C54">
        <w:rPr>
          <w:rStyle w:val="HTMLTypewriter"/>
          <w:rFonts w:ascii="Times New Roman" w:hAnsi="Times New Roman"/>
          <w:b/>
          <w:color w:val="000000"/>
          <w:sz w:val="24"/>
          <w:szCs w:val="24"/>
        </w:rPr>
        <w:t>Arendt’s Work as Exemplar of Natality</w:t>
      </w:r>
    </w:p>
    <w:p w14:paraId="7DC35345" w14:textId="77777777" w:rsidR="008B7C54" w:rsidRDefault="008B7C54" w:rsidP="00CF70FF">
      <w:pPr>
        <w:rPr>
          <w:rStyle w:val="HTMLTypewriter"/>
          <w:rFonts w:ascii="Times New Roman" w:hAnsi="Times New Roman"/>
          <w:color w:val="000000"/>
          <w:sz w:val="24"/>
          <w:szCs w:val="24"/>
        </w:rPr>
      </w:pPr>
      <w:r>
        <w:rPr>
          <w:rStyle w:val="HTMLTypewriter"/>
          <w:rFonts w:ascii="Times New Roman" w:hAnsi="Times New Roman"/>
          <w:color w:val="000000"/>
          <w:sz w:val="24"/>
          <w:szCs w:val="24"/>
        </w:rPr>
        <w:tab/>
      </w:r>
    </w:p>
    <w:p w14:paraId="495E799F" w14:textId="77777777" w:rsidR="001F303A" w:rsidRDefault="008B7C54" w:rsidP="008B7C54">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 xml:space="preserve">Margaret </w:t>
      </w:r>
      <w:proofErr w:type="spellStart"/>
      <w:r>
        <w:rPr>
          <w:rStyle w:val="HTMLTypewriter"/>
          <w:rFonts w:ascii="Times New Roman" w:hAnsi="Times New Roman"/>
          <w:color w:val="000000"/>
          <w:sz w:val="24"/>
          <w:szCs w:val="24"/>
        </w:rPr>
        <w:t>Canovan</w:t>
      </w:r>
      <w:proofErr w:type="spellEnd"/>
      <w:r>
        <w:rPr>
          <w:rStyle w:val="HTMLTypewriter"/>
          <w:rFonts w:ascii="Times New Roman" w:hAnsi="Times New Roman"/>
          <w:color w:val="000000"/>
          <w:sz w:val="24"/>
          <w:szCs w:val="24"/>
        </w:rPr>
        <w:t xml:space="preserve"> points out that Arendt’s understanding of freedom is not “at home” within any of the familiar traditions of political thought, neither the tradition of “positive liberty” nor “‘negative’ liberalism” (212). And it is precisely this bringing together of individuality and world that falls outside the box. “One way of describing her </w:t>
      </w:r>
      <w:r>
        <w:rPr>
          <w:rStyle w:val="HTMLTypewriter"/>
          <w:rFonts w:ascii="Times New Roman" w:hAnsi="Times New Roman"/>
          <w:color w:val="000000"/>
          <w:sz w:val="24"/>
          <w:szCs w:val="24"/>
        </w:rPr>
        <w:lastRenderedPageBreak/>
        <w:t>distinctive approach to the idea of freedom might indeed be to say that she was trying to graft the existentialist sense of the open future that always lies before each individual on to classical republican images of citizens stand</w:t>
      </w:r>
      <w:r w:rsidR="008D1F3C">
        <w:rPr>
          <w:rStyle w:val="HTMLTypewriter"/>
          <w:rFonts w:ascii="Times New Roman" w:hAnsi="Times New Roman"/>
          <w:color w:val="000000"/>
          <w:sz w:val="24"/>
          <w:szCs w:val="24"/>
        </w:rPr>
        <w:t>ing should</w:t>
      </w:r>
      <w:r w:rsidR="0041163A">
        <w:rPr>
          <w:rStyle w:val="HTMLTypewriter"/>
          <w:rFonts w:ascii="Times New Roman" w:hAnsi="Times New Roman"/>
          <w:color w:val="000000"/>
          <w:sz w:val="24"/>
          <w:szCs w:val="24"/>
        </w:rPr>
        <w:t>er</w:t>
      </w:r>
      <w:r w:rsidR="008D1F3C">
        <w:rPr>
          <w:rStyle w:val="HTMLTypewriter"/>
          <w:rFonts w:ascii="Times New Roman" w:hAnsi="Times New Roman"/>
          <w:color w:val="000000"/>
          <w:sz w:val="24"/>
          <w:szCs w:val="24"/>
        </w:rPr>
        <w:t xml:space="preserve"> to shoulder in defens</w:t>
      </w:r>
      <w:r>
        <w:rPr>
          <w:rStyle w:val="HTMLTypewriter"/>
          <w:rFonts w:ascii="Times New Roman" w:hAnsi="Times New Roman"/>
          <w:color w:val="000000"/>
          <w:sz w:val="24"/>
          <w:szCs w:val="24"/>
        </w:rPr>
        <w:t>e of their common freedom. But she would probably have objected that such a formulation merely reiterates the opposition between solitar</w:t>
      </w:r>
      <w:r w:rsidR="002727CC">
        <w:rPr>
          <w:rStyle w:val="HTMLTypewriter"/>
          <w:rFonts w:ascii="Times New Roman" w:hAnsi="Times New Roman"/>
          <w:color w:val="000000"/>
          <w:sz w:val="24"/>
          <w:szCs w:val="24"/>
        </w:rPr>
        <w:t>y individuals and solid collect</w:t>
      </w:r>
      <w:r>
        <w:rPr>
          <w:rStyle w:val="HTMLTypewriter"/>
          <w:rFonts w:ascii="Times New Roman" w:hAnsi="Times New Roman"/>
          <w:color w:val="000000"/>
          <w:sz w:val="24"/>
          <w:szCs w:val="24"/>
        </w:rPr>
        <w:t xml:space="preserve">ives that she was trying to overcome by articulating a concept that takes account of the space </w:t>
      </w:r>
      <w:r>
        <w:rPr>
          <w:rStyle w:val="HTMLTypewriter"/>
          <w:rFonts w:ascii="Times New Roman" w:hAnsi="Times New Roman"/>
          <w:i/>
          <w:color w:val="000000"/>
          <w:sz w:val="24"/>
          <w:szCs w:val="24"/>
        </w:rPr>
        <w:t xml:space="preserve">between </w:t>
      </w:r>
      <w:r>
        <w:rPr>
          <w:rStyle w:val="HTMLTypewriter"/>
          <w:rFonts w:ascii="Times New Roman" w:hAnsi="Times New Roman"/>
          <w:color w:val="000000"/>
          <w:sz w:val="24"/>
          <w:szCs w:val="24"/>
        </w:rPr>
        <w:t xml:space="preserve">people” (212,213). </w:t>
      </w:r>
    </w:p>
    <w:p w14:paraId="486CB6D5" w14:textId="77777777" w:rsidR="004F668F" w:rsidRDefault="001F303A" w:rsidP="004F668F">
      <w:pPr>
        <w:ind w:firstLine="720"/>
        <w:rPr>
          <w:rStyle w:val="HTMLTypewriter"/>
          <w:rFonts w:ascii="Times New Roman" w:hAnsi="Times New Roman"/>
          <w:color w:val="000000"/>
          <w:sz w:val="24"/>
          <w:szCs w:val="24"/>
        </w:rPr>
      </w:pPr>
      <w:r>
        <w:rPr>
          <w:rStyle w:val="HTMLTypewriter"/>
          <w:rFonts w:ascii="Times New Roman" w:hAnsi="Times New Roman"/>
          <w:color w:val="000000"/>
          <w:sz w:val="24"/>
          <w:szCs w:val="24"/>
        </w:rPr>
        <w:t>In other words, w</w:t>
      </w:r>
      <w:r w:rsidR="008B7C54">
        <w:rPr>
          <w:rStyle w:val="HTMLTypewriter"/>
          <w:rFonts w:ascii="Times New Roman" w:hAnsi="Times New Roman"/>
          <w:color w:val="000000"/>
          <w:sz w:val="24"/>
          <w:szCs w:val="24"/>
        </w:rPr>
        <w:t xml:space="preserve">hat Arendt means by freedom is exemplified by her own practice. Her radical originality is a powerful instance of natality, bringing something new into the world. </w:t>
      </w:r>
      <w:r w:rsidR="00076CE7">
        <w:rPr>
          <w:rStyle w:val="HTMLTypewriter"/>
          <w:rFonts w:ascii="Times New Roman" w:hAnsi="Times New Roman"/>
          <w:color w:val="000000"/>
          <w:sz w:val="24"/>
          <w:szCs w:val="24"/>
        </w:rPr>
        <w:t xml:space="preserve">She has “’augmented’ the world by one word: the word ‘plurality’,” says </w:t>
      </w:r>
      <w:proofErr w:type="spellStart"/>
      <w:r w:rsidR="00076CE7">
        <w:rPr>
          <w:rStyle w:val="HTMLTypewriter"/>
          <w:rFonts w:ascii="Times New Roman" w:hAnsi="Times New Roman"/>
          <w:color w:val="000000"/>
          <w:sz w:val="24"/>
          <w:szCs w:val="24"/>
        </w:rPr>
        <w:t>Canovan</w:t>
      </w:r>
      <w:proofErr w:type="spellEnd"/>
      <w:r w:rsidR="00076CE7">
        <w:rPr>
          <w:rStyle w:val="HTMLTypewriter"/>
          <w:rFonts w:ascii="Times New Roman" w:hAnsi="Times New Roman"/>
          <w:color w:val="000000"/>
          <w:sz w:val="24"/>
          <w:szCs w:val="24"/>
        </w:rPr>
        <w:t>.</w:t>
      </w:r>
      <w:r w:rsidR="00076CE7">
        <w:rPr>
          <w:rStyle w:val="FootnoteReference"/>
          <w:color w:val="000000"/>
        </w:rPr>
        <w:footnoteReference w:id="19"/>
      </w:r>
      <w:r w:rsidR="00076CE7">
        <w:rPr>
          <w:rStyle w:val="HTMLTypewriter"/>
          <w:rFonts w:ascii="Times New Roman" w:hAnsi="Times New Roman"/>
          <w:color w:val="000000"/>
          <w:sz w:val="24"/>
          <w:szCs w:val="24"/>
        </w:rPr>
        <w:t xml:space="preserve"> </w:t>
      </w:r>
      <w:r w:rsidR="004F668F">
        <w:rPr>
          <w:rStyle w:val="HTMLTypewriter"/>
          <w:rFonts w:ascii="Times New Roman" w:hAnsi="Times New Roman"/>
          <w:color w:val="000000"/>
          <w:sz w:val="24"/>
          <w:szCs w:val="24"/>
        </w:rPr>
        <w:t>A</w:t>
      </w:r>
      <w:r w:rsidR="008B7C54">
        <w:rPr>
          <w:rStyle w:val="HTMLTypewriter"/>
          <w:rFonts w:ascii="Times New Roman" w:hAnsi="Times New Roman"/>
          <w:color w:val="000000"/>
          <w:sz w:val="24"/>
          <w:szCs w:val="24"/>
        </w:rPr>
        <w:t>rendt is “one of the great outsiders of twentieth-century political thought, at once strikingly original and disturbingly unorthodox.”</w:t>
      </w:r>
      <w:r w:rsidR="008B7C54">
        <w:rPr>
          <w:rStyle w:val="FootnoteReference"/>
          <w:color w:val="000000"/>
        </w:rPr>
        <w:footnoteReference w:id="20"/>
      </w:r>
      <w:r w:rsidR="008B7C54">
        <w:rPr>
          <w:rStyle w:val="HTMLTypewriter"/>
          <w:rFonts w:ascii="Times New Roman" w:hAnsi="Times New Roman"/>
          <w:color w:val="000000"/>
          <w:sz w:val="24"/>
          <w:szCs w:val="24"/>
        </w:rPr>
        <w:t xml:space="preserve"> </w:t>
      </w:r>
      <w:r w:rsidR="004F668F">
        <w:rPr>
          <w:rStyle w:val="HTMLTypewriter"/>
          <w:rFonts w:ascii="Times New Roman" w:hAnsi="Times New Roman"/>
          <w:color w:val="000000"/>
          <w:sz w:val="24"/>
          <w:szCs w:val="24"/>
        </w:rPr>
        <w:t>Villa argues that many of the criticisms of her work are a result of failure to take the measure of the radical nature of her political theory, which is, in many respects, “without precedent, literally incomparable.”</w:t>
      </w:r>
      <w:r w:rsidR="004F668F">
        <w:rPr>
          <w:rStyle w:val="FootnoteReference"/>
          <w:color w:val="000000"/>
        </w:rPr>
        <w:footnoteReference w:id="21"/>
      </w:r>
    </w:p>
    <w:p w14:paraId="0DAEDCB4" w14:textId="77777777" w:rsidR="004F668F" w:rsidRPr="002144FA" w:rsidRDefault="004F668F" w:rsidP="008B7C54">
      <w:pPr>
        <w:rPr>
          <w:rStyle w:val="HTMLTypewriter"/>
          <w:rFonts w:ascii="Times New Roman" w:hAnsi="Times New Roman"/>
          <w:color w:val="000000"/>
          <w:sz w:val="24"/>
          <w:szCs w:val="24"/>
        </w:rPr>
      </w:pPr>
    </w:p>
    <w:p w14:paraId="08559845" w14:textId="77777777" w:rsidR="008B7C54" w:rsidRPr="00E41015" w:rsidRDefault="008B7C54" w:rsidP="00CF70FF">
      <w:pPr>
        <w:rPr>
          <w:rStyle w:val="HTMLTypewriter"/>
          <w:rFonts w:ascii="Times New Roman" w:hAnsi="Times New Roman"/>
          <w:color w:val="000000"/>
          <w:sz w:val="24"/>
          <w:szCs w:val="24"/>
        </w:rPr>
      </w:pPr>
      <w:r>
        <w:rPr>
          <w:rStyle w:val="HTMLTypewriter"/>
          <w:rFonts w:ascii="Times New Roman" w:hAnsi="Times New Roman"/>
          <w:color w:val="000000"/>
          <w:sz w:val="24"/>
          <w:szCs w:val="24"/>
        </w:rPr>
        <w:tab/>
      </w:r>
    </w:p>
    <w:p w14:paraId="56BF4F5B" w14:textId="77777777" w:rsidR="00B630BD" w:rsidRDefault="00111EDD" w:rsidP="0025010F">
      <w:pP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 xml:space="preserve">D. </w:t>
      </w:r>
      <w:r w:rsidR="00B630BD">
        <w:rPr>
          <w:rStyle w:val="HTMLTypewriter"/>
          <w:rFonts w:ascii="Times New Roman" w:hAnsi="Times New Roman"/>
          <w:b/>
          <w:color w:val="000000"/>
          <w:sz w:val="24"/>
          <w:szCs w:val="24"/>
        </w:rPr>
        <w:t>Arendt and U.S. Imperialism</w:t>
      </w:r>
      <w:r w:rsidR="006404DC">
        <w:rPr>
          <w:rStyle w:val="HTMLTypewriter"/>
          <w:rFonts w:ascii="Times New Roman" w:hAnsi="Times New Roman"/>
          <w:b/>
          <w:color w:val="000000"/>
          <w:sz w:val="24"/>
          <w:szCs w:val="24"/>
        </w:rPr>
        <w:t xml:space="preserve"> Today</w:t>
      </w:r>
    </w:p>
    <w:p w14:paraId="04542A0F" w14:textId="77777777" w:rsidR="00B630BD" w:rsidRPr="00B630BD" w:rsidRDefault="00B630BD" w:rsidP="0025010F">
      <w:pPr>
        <w:rPr>
          <w:rStyle w:val="HTMLTypewriter"/>
          <w:rFonts w:ascii="Times New Roman" w:hAnsi="Times New Roman"/>
          <w:b/>
          <w:color w:val="000000"/>
          <w:sz w:val="24"/>
          <w:szCs w:val="24"/>
        </w:rPr>
      </w:pPr>
    </w:p>
    <w:p w14:paraId="2BDE2651" w14:textId="77777777" w:rsidR="00907BB3" w:rsidRDefault="004832C8" w:rsidP="0025010F">
      <w:pPr>
        <w:rPr>
          <w:rStyle w:val="HTMLTypewriter"/>
          <w:rFonts w:ascii="Times New Roman" w:hAnsi="Times New Roman"/>
          <w:color w:val="000000"/>
          <w:sz w:val="24"/>
          <w:szCs w:val="24"/>
        </w:rPr>
      </w:pPr>
      <w:r w:rsidRPr="00E41015">
        <w:rPr>
          <w:rStyle w:val="HTMLTypewriter"/>
          <w:rFonts w:ascii="Times New Roman" w:hAnsi="Times New Roman"/>
          <w:color w:val="000000"/>
          <w:sz w:val="24"/>
          <w:szCs w:val="24"/>
        </w:rPr>
        <w:tab/>
        <w:t xml:space="preserve">Judged on Arendt’s terms, the Bush administration has committed the U.S. to a sovereign model of political association and, despite its </w:t>
      </w:r>
      <w:r w:rsidR="00FA7016" w:rsidRPr="00E41015">
        <w:rPr>
          <w:rStyle w:val="HTMLTypewriter"/>
          <w:rFonts w:ascii="Times New Roman" w:hAnsi="Times New Roman"/>
          <w:color w:val="000000"/>
          <w:sz w:val="24"/>
          <w:szCs w:val="24"/>
        </w:rPr>
        <w:t>rhetoric</w:t>
      </w:r>
      <w:r w:rsidRPr="00E41015">
        <w:rPr>
          <w:rStyle w:val="HTMLTypewriter"/>
          <w:rFonts w:ascii="Times New Roman" w:hAnsi="Times New Roman"/>
          <w:color w:val="000000"/>
          <w:sz w:val="24"/>
          <w:szCs w:val="24"/>
        </w:rPr>
        <w:t xml:space="preserve">, is waging war on freedom. It pursues a politics of certainty. It has nothing but contempt for the frailties of freedom. It pursues </w:t>
      </w:r>
      <w:r w:rsidR="00FA7016" w:rsidRPr="00E41015">
        <w:rPr>
          <w:rStyle w:val="HTMLTypewriter"/>
          <w:rFonts w:ascii="Times New Roman" w:hAnsi="Times New Roman"/>
          <w:color w:val="000000"/>
          <w:sz w:val="24"/>
          <w:szCs w:val="24"/>
        </w:rPr>
        <w:t>conformity</w:t>
      </w:r>
      <w:r w:rsidRPr="00E41015">
        <w:rPr>
          <w:rStyle w:val="HTMLTypewriter"/>
          <w:rFonts w:ascii="Times New Roman" w:hAnsi="Times New Roman"/>
          <w:color w:val="000000"/>
          <w:sz w:val="24"/>
          <w:szCs w:val="24"/>
        </w:rPr>
        <w:t xml:space="preserve"> and wages war on plurality. It pursues force in place of power. “Power,” says Arendt, “is actualized only where word and deed have not parted company, where words are not empty and deeds not brutal, where words are not used to veil intentions but to disclose realities, and deeds are not used to violate and destroy but to establish relations and create new realities” (200). </w:t>
      </w:r>
    </w:p>
    <w:p w14:paraId="0470B2FE" w14:textId="77777777" w:rsidR="00E87F23" w:rsidRDefault="00E87F23" w:rsidP="0025010F">
      <w:pPr>
        <w:rPr>
          <w:rStyle w:val="HTMLTypewriter"/>
          <w:rFonts w:ascii="Times New Roman" w:hAnsi="Times New Roman"/>
          <w:color w:val="000000"/>
          <w:sz w:val="24"/>
          <w:szCs w:val="24"/>
        </w:rPr>
      </w:pPr>
    </w:p>
    <w:sectPr w:rsidR="00E87F23">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0E04" w14:textId="77777777" w:rsidR="00B6014C" w:rsidRDefault="00B6014C">
      <w:r>
        <w:separator/>
      </w:r>
    </w:p>
  </w:endnote>
  <w:endnote w:type="continuationSeparator" w:id="0">
    <w:p w14:paraId="1EBD7CBB" w14:textId="77777777" w:rsidR="00B6014C" w:rsidRDefault="00B6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CCDBB" w14:textId="77777777" w:rsidR="00B6014C" w:rsidRDefault="00B6014C">
      <w:r>
        <w:separator/>
      </w:r>
    </w:p>
  </w:footnote>
  <w:footnote w:type="continuationSeparator" w:id="0">
    <w:p w14:paraId="3F9DC593" w14:textId="77777777" w:rsidR="00B6014C" w:rsidRDefault="00B6014C">
      <w:r>
        <w:continuationSeparator/>
      </w:r>
    </w:p>
  </w:footnote>
  <w:footnote w:id="1">
    <w:p w14:paraId="39E4D185" w14:textId="77777777" w:rsidR="00886226" w:rsidRDefault="00886226">
      <w:pPr>
        <w:pStyle w:val="FootnoteText"/>
      </w:pPr>
      <w:r>
        <w:rPr>
          <w:rStyle w:val="FootnoteReference"/>
        </w:rPr>
        <w:footnoteRef/>
      </w:r>
      <w:r>
        <w:t xml:space="preserve"> All references are to the Second Edition, published in 1998.</w:t>
      </w:r>
    </w:p>
  </w:footnote>
  <w:footnote w:id="2">
    <w:p w14:paraId="1A46BD2D" w14:textId="77777777" w:rsidR="00886226" w:rsidRPr="004F43CD" w:rsidRDefault="00886226">
      <w:pPr>
        <w:pStyle w:val="FootnoteText"/>
      </w:pPr>
      <w:r>
        <w:rPr>
          <w:rStyle w:val="FootnoteReference"/>
        </w:rPr>
        <w:footnoteRef/>
      </w:r>
      <w:r>
        <w:t xml:space="preserve"> The form of Arendt’s works “is symphonic rather than sequential, interweaving and developing themes rather than presenting an argument” (Margaret </w:t>
      </w:r>
      <w:proofErr w:type="spellStart"/>
      <w:r>
        <w:t>Canovan</w:t>
      </w:r>
      <w:proofErr w:type="spellEnd"/>
      <w:r>
        <w:t xml:space="preserve">, </w:t>
      </w:r>
      <w:r>
        <w:rPr>
          <w:i/>
        </w:rPr>
        <w:t>Hannah Arendt</w:t>
      </w:r>
      <w:r>
        <w:t>, p. 3).</w:t>
      </w:r>
    </w:p>
  </w:footnote>
  <w:footnote w:id="3">
    <w:p w14:paraId="26D4235E" w14:textId="77777777" w:rsidR="00886226" w:rsidRPr="00D62088" w:rsidRDefault="00886226">
      <w:pPr>
        <w:pStyle w:val="FootnoteText"/>
      </w:pPr>
      <w:r>
        <w:rPr>
          <w:rStyle w:val="FootnoteReference"/>
        </w:rPr>
        <w:footnoteRef/>
      </w:r>
      <w:r>
        <w:t xml:space="preserve"> Section 1.1 asserts the distinction between action, work, and labor and recasts the question of human being in terms of the conditions instead of the nature or essence of being human. Section 1.2 asserts the preeminence of activity over contemplation. Section 1.3 elaborates on the preeminence of the </w:t>
      </w:r>
      <w:r>
        <w:rPr>
          <w:i/>
        </w:rPr>
        <w:t>vita active</w:t>
      </w:r>
      <w:r>
        <w:t xml:space="preserve"> over the </w:t>
      </w:r>
      <w:r>
        <w:rPr>
          <w:i/>
        </w:rPr>
        <w:t xml:space="preserve">vita </w:t>
      </w:r>
      <w:proofErr w:type="spellStart"/>
      <w:r>
        <w:rPr>
          <w:i/>
        </w:rPr>
        <w:t>contemplativa</w:t>
      </w:r>
      <w:proofErr w:type="spellEnd"/>
      <w:r>
        <w:t xml:space="preserve"> in terms of immortality over eternity.</w:t>
      </w:r>
    </w:p>
  </w:footnote>
  <w:footnote w:id="4">
    <w:p w14:paraId="335D9395" w14:textId="77777777" w:rsidR="00886226" w:rsidRPr="00D559DB" w:rsidRDefault="00886226">
      <w:pPr>
        <w:pStyle w:val="FootnoteText"/>
      </w:pPr>
      <w:r>
        <w:rPr>
          <w:rStyle w:val="FootnoteReference"/>
        </w:rPr>
        <w:footnoteRef/>
      </w:r>
      <w:r>
        <w:t xml:space="preserve"> The notion of a hierarchical order is a fundamental feature of her argument (cf. p. 17), contributing to the charge that she is “an elitist critic of democracy” (Dana Villa, </w:t>
      </w:r>
      <w:r>
        <w:rPr>
          <w:i/>
        </w:rPr>
        <w:t xml:space="preserve">Arendt and </w:t>
      </w:r>
      <w:r w:rsidRPr="00D559DB">
        <w:t>Heidegger</w:t>
      </w:r>
      <w:r>
        <w:t>, 30). Villa argues that her hierarchy of activities is not a “hierarchy of types” or agents (</w:t>
      </w:r>
      <w:r>
        <w:rPr>
          <w:i/>
        </w:rPr>
        <w:t>Arendt and Heidegger</w:t>
      </w:r>
      <w:r>
        <w:t>, p. 145). On the other hand her use of the stark hierarchical order of the Greek polis is disquieting, “harsh,” “severe, bordering on the reactionary,” as Villa admits (</w:t>
      </w:r>
      <w:r>
        <w:rPr>
          <w:i/>
        </w:rPr>
        <w:t>Arendt and Heidegger</w:t>
      </w:r>
      <w:r>
        <w:t>, 28, 30). “How are we to take seriously a political theorist who insist that ‘each person must be given the opportunity’ to participate, but who turns a blind eye to the problem of how to create … the conditions that would help guarantee their opportunity?” (Villa, 30). He concludes that “Arendt sides with liberals against social democrats in viewing constitutionally guaranteed political rights as more fundamental than the abstract goal of social justice” (40). On the other hand, she is a harsh critic of liberalism (270).</w:t>
      </w:r>
    </w:p>
  </w:footnote>
  <w:footnote w:id="5">
    <w:p w14:paraId="27F38B14" w14:textId="77777777" w:rsidR="00886226" w:rsidRPr="00F2586E" w:rsidRDefault="00886226" w:rsidP="00F2586E">
      <w:pPr>
        <w:rPr>
          <w:rStyle w:val="HTMLTypewriter"/>
          <w:rFonts w:ascii="Times New Roman" w:hAnsi="Times New Roman"/>
          <w:color w:val="000000"/>
        </w:rPr>
      </w:pPr>
      <w:r w:rsidRPr="00831DBE">
        <w:rPr>
          <w:rStyle w:val="FootnoteReference"/>
          <w:sz w:val="20"/>
          <w:szCs w:val="20"/>
        </w:rPr>
        <w:footnoteRef/>
      </w:r>
      <w:r w:rsidRPr="00831DBE">
        <w:rPr>
          <w:sz w:val="20"/>
          <w:szCs w:val="20"/>
        </w:rPr>
        <w:t xml:space="preserve"> </w:t>
      </w:r>
      <w:r>
        <w:rPr>
          <w:rStyle w:val="HTMLTypewriter"/>
          <w:rFonts w:ascii="Times New Roman" w:hAnsi="Times New Roman"/>
          <w:color w:val="000000"/>
        </w:rPr>
        <w:t xml:space="preserve"> </w:t>
      </w:r>
      <w:r w:rsidRPr="00831DBE">
        <w:rPr>
          <w:rStyle w:val="HTMLTypewriter"/>
          <w:rFonts w:ascii="Times New Roman" w:hAnsi="Times New Roman"/>
          <w:color w:val="000000"/>
        </w:rPr>
        <w:t>Se</w:t>
      </w:r>
      <w:r>
        <w:rPr>
          <w:rStyle w:val="HTMLTypewriter"/>
          <w:rFonts w:ascii="Times New Roman" w:hAnsi="Times New Roman"/>
          <w:color w:val="000000"/>
        </w:rPr>
        <w:t>ctions 4,7,8,10 develop the i</w:t>
      </w:r>
      <w:r w:rsidRPr="00831DBE">
        <w:rPr>
          <w:rStyle w:val="HTMLTypewriter"/>
          <w:rFonts w:ascii="Times New Roman" w:hAnsi="Times New Roman"/>
          <w:color w:val="000000"/>
        </w:rPr>
        <w:t xml:space="preserve">mportance of distinctions between public, private. </w:t>
      </w:r>
      <w:r>
        <w:rPr>
          <w:rStyle w:val="HTMLTypewriter"/>
          <w:rFonts w:ascii="Times New Roman" w:hAnsi="Times New Roman"/>
          <w:color w:val="000000"/>
        </w:rPr>
        <w:t>Section 5 traces the fate of the distinction in reverse chronological order, modern, medieval, classical Greek</w:t>
      </w:r>
      <w:r w:rsidRPr="00831DBE">
        <w:rPr>
          <w:rStyle w:val="HTMLTypewriter"/>
          <w:rFonts w:ascii="Times New Roman" w:hAnsi="Times New Roman"/>
          <w:color w:val="000000"/>
        </w:rPr>
        <w:t xml:space="preserve">. </w:t>
      </w:r>
      <w:r>
        <w:rPr>
          <w:rStyle w:val="HTMLTypewriter"/>
          <w:rFonts w:ascii="Times New Roman" w:hAnsi="Times New Roman"/>
          <w:color w:val="000000"/>
        </w:rPr>
        <w:t>Sections 6 and 9 analyze t</w:t>
      </w:r>
      <w:r w:rsidRPr="00831DBE">
        <w:rPr>
          <w:rStyle w:val="HTMLTypewriter"/>
          <w:rFonts w:ascii="Times New Roman" w:hAnsi="Times New Roman"/>
          <w:color w:val="000000"/>
        </w:rPr>
        <w:t>he damage done to the distinctive public and private realms by the takeov</w:t>
      </w:r>
      <w:r>
        <w:rPr>
          <w:rStyle w:val="HTMLTypewriter"/>
          <w:rFonts w:ascii="Times New Roman" w:hAnsi="Times New Roman"/>
          <w:color w:val="000000"/>
        </w:rPr>
        <w:t>er of the social</w:t>
      </w:r>
      <w:r w:rsidRPr="00831DBE">
        <w:rPr>
          <w:rStyle w:val="HTMLTypewriter"/>
          <w:rFonts w:ascii="Times New Roman" w:hAnsi="Times New Roman"/>
          <w:color w:val="000000"/>
        </w:rPr>
        <w:t xml:space="preserve">. </w:t>
      </w:r>
      <w:r w:rsidR="00A561E0">
        <w:rPr>
          <w:rStyle w:val="HTMLTypewriter"/>
          <w:rFonts w:ascii="Times New Roman" w:hAnsi="Times New Roman"/>
          <w:color w:val="000000"/>
        </w:rPr>
        <w:t xml:space="preserve">I add a </w:t>
      </w:r>
      <w:r>
        <w:rPr>
          <w:rStyle w:val="HTMLTypewriter"/>
          <w:rFonts w:ascii="Times New Roman" w:hAnsi="Times New Roman"/>
          <w:color w:val="000000"/>
        </w:rPr>
        <w:t xml:space="preserve">more detailed summary here because of the peculiar difficulty of this chapter: </w:t>
      </w:r>
      <w:r w:rsidRPr="00F2586E">
        <w:rPr>
          <w:rStyle w:val="HTMLTypewriter"/>
          <w:rFonts w:ascii="Times New Roman" w:hAnsi="Times New Roman"/>
          <w:color w:val="000000"/>
        </w:rPr>
        <w:t xml:space="preserve">Section 2.4 introduces </w:t>
      </w:r>
      <w:r>
        <w:rPr>
          <w:rStyle w:val="HTMLTypewriter"/>
          <w:rFonts w:ascii="Times New Roman" w:hAnsi="Times New Roman"/>
          <w:color w:val="000000"/>
        </w:rPr>
        <w:t xml:space="preserve">the </w:t>
      </w:r>
      <w:r w:rsidRPr="00F2586E">
        <w:rPr>
          <w:rStyle w:val="HTMLTypewriter"/>
          <w:rFonts w:ascii="Times New Roman" w:hAnsi="Times New Roman"/>
          <w:color w:val="000000"/>
        </w:rPr>
        <w:t>concept of the location of activity and the sharp distinction in the polis between the political and the</w:t>
      </w:r>
      <w:r>
        <w:rPr>
          <w:rStyle w:val="HTMLTypewriter"/>
          <w:rFonts w:ascii="Times New Roman" w:hAnsi="Times New Roman"/>
          <w:color w:val="000000"/>
          <w:sz w:val="24"/>
          <w:szCs w:val="24"/>
        </w:rPr>
        <w:t xml:space="preserve"> </w:t>
      </w:r>
      <w:r w:rsidRPr="00F2586E">
        <w:rPr>
          <w:rStyle w:val="HTMLTypewriter"/>
          <w:rFonts w:ascii="Times New Roman" w:hAnsi="Times New Roman"/>
          <w:color w:val="000000"/>
        </w:rPr>
        <w:t xml:space="preserve">private realm. Action and speech belong to the political as the “highest” activities. Section 2.5 compares the fate of the public/private distinction in reverse chronological order, from modern eras (paragraphs 2-9) to medieval (10-12), to the Greeks (13-15).  Section 2.6. Transformations and reversals from ancient to modern: Privacy transformed from ancient to modern (paragraphs 1-3); equality transformed (paragraphs 4-8); statistical uniformity as political ideal (9-14); devouring growth (15-19); excellence transformed (20). Section 2.7 Breaks out “world” in contrast to “society.”  Section 2.8 the necessity and importance of the private for the public realm. Section 2.9 The rise of the social brings loss of durability (paragraphs 1-2), of both public and private (3), of tangibility (4-5), and blurring of line between necessity and freedom. Section 2.10 The example of goodness demonstrates correspondence of activity with proper location. </w:t>
      </w:r>
    </w:p>
    <w:p w14:paraId="452B50D6" w14:textId="77777777" w:rsidR="00886226" w:rsidRDefault="00886226">
      <w:pPr>
        <w:pStyle w:val="FootnoteText"/>
      </w:pPr>
    </w:p>
  </w:footnote>
  <w:footnote w:id="6">
    <w:p w14:paraId="29C90207" w14:textId="77777777" w:rsidR="00886226" w:rsidRDefault="00886226">
      <w:pPr>
        <w:pStyle w:val="FootnoteText"/>
      </w:pPr>
      <w:r>
        <w:rPr>
          <w:rStyle w:val="FootnoteReference"/>
        </w:rPr>
        <w:footnoteRef/>
      </w:r>
      <w:r>
        <w:t xml:space="preserve"> Other associative “spaces” considered in the course of the book are the secular and the religious (34), world, earth, interiority, the “space of appearance,” the “web of human relationships.”  Related to spaces is the theme of boundaries. In chapter five she talks about the “boundlessness” of action, its “inherent tendency to force open all limitations and cut across all boundaries (190). How is this boundlessness of action different from the hybrid crossing of boundaries by the hybrid social? </w:t>
      </w:r>
    </w:p>
  </w:footnote>
  <w:footnote w:id="7">
    <w:p w14:paraId="1F5F89AE" w14:textId="77777777" w:rsidR="00886226" w:rsidRDefault="00886226">
      <w:pPr>
        <w:pStyle w:val="FootnoteText"/>
      </w:pPr>
      <w:r>
        <w:rPr>
          <w:rStyle w:val="FootnoteReference"/>
        </w:rPr>
        <w:footnoteRef/>
      </w:r>
      <w:r>
        <w:t xml:space="preserve">I am using this phrase, “associational space” instead of “social space” because of the special significance of the word “social” in her argument. </w:t>
      </w:r>
    </w:p>
  </w:footnote>
  <w:footnote w:id="8">
    <w:p w14:paraId="2F31A876" w14:textId="77777777" w:rsidR="00886226" w:rsidRPr="00A81FFE" w:rsidRDefault="00886226">
      <w:pPr>
        <w:pStyle w:val="FootnoteText"/>
      </w:pPr>
      <w:r>
        <w:rPr>
          <w:rStyle w:val="FootnoteReference"/>
        </w:rPr>
        <w:footnoteRef/>
      </w:r>
      <w:r>
        <w:t xml:space="preserve"> Hanna </w:t>
      </w:r>
      <w:proofErr w:type="spellStart"/>
      <w:r>
        <w:t>Fenichel</w:t>
      </w:r>
      <w:proofErr w:type="spellEnd"/>
      <w:r>
        <w:t xml:space="preserve"> Pitkin, </w:t>
      </w:r>
      <w:r>
        <w:rPr>
          <w:i/>
        </w:rPr>
        <w:t>The Attack of the Blob: Hannah Arendt’s concept of the Social</w:t>
      </w:r>
      <w:r>
        <w:t>. University of Chicago Press.</w:t>
      </w:r>
    </w:p>
  </w:footnote>
  <w:footnote w:id="9">
    <w:p w14:paraId="1F187EF3" w14:textId="77777777" w:rsidR="00886226" w:rsidRDefault="00886226">
      <w:pPr>
        <w:pStyle w:val="FootnoteText"/>
      </w:pPr>
      <w:r>
        <w:rPr>
          <w:rStyle w:val="FootnoteReference"/>
        </w:rPr>
        <w:footnoteRef/>
      </w:r>
      <w:r>
        <w:t xml:space="preserve">Sections #11,12,13 focus on asserting the fact of </w:t>
      </w:r>
      <w:r w:rsidRPr="00CC26BE">
        <w:rPr>
          <w:u w:val="single"/>
        </w:rPr>
        <w:t>the distinction between labor and work</w:t>
      </w:r>
      <w:r>
        <w:t xml:space="preserve"> evidenced by the distinction between their products, the durability of work products intended for use versus the momentary duration of labor products intended for consumption. Section #14 focuses on the appeal of the fertility of labor as a metaphor for the dramatic rise of growth processes as the reason labor theories elevated labor to the defining activity of man despite the contradictions in which it entangled them. Sections #15, 16 and 17 analyze the </w:t>
      </w:r>
      <w:r w:rsidRPr="00CC26BE">
        <w:rPr>
          <w:u w:val="single"/>
        </w:rPr>
        <w:t>consequences of the victory of labor</w:t>
      </w:r>
      <w:r>
        <w:t xml:space="preserve">; the consequence for world in Section #15 (the triumph of privacy over the public realm); the consequence for work in Section #16 (everything, including use goods, becomes consumer goods in the waste society).; the consequence for freedom in Section #17 (emancipation of labor means “forcing all mankind for the first time under the yoke of necessity,” 130). Section #14 is transitional between phenomenological description by distinction in the first three sections, and the polemical analysis in the last three sections. </w:t>
      </w:r>
    </w:p>
  </w:footnote>
  <w:footnote w:id="10">
    <w:p w14:paraId="09CB0014" w14:textId="77777777" w:rsidR="00886226" w:rsidRDefault="00886226" w:rsidP="00613152">
      <w:pPr>
        <w:pStyle w:val="FootnoteText"/>
      </w:pPr>
      <w:r>
        <w:rPr>
          <w:rStyle w:val="FootnoteReference"/>
        </w:rPr>
        <w:footnoteRef/>
      </w:r>
      <w:r>
        <w:t xml:space="preserve"> There is a cascade of  processes heaped up in this chapter: “growing wealth, growing property, growing acquisition” (105), “life process,” fertility, “the phenomenon of progressing process itself” (105), fertility, acquisition, accumulation, appropriation, productivity, reproduction, evolution, biological process, development theories, laboring process, consumption, “ever-recurring cycles.” “The concept of process became the very key term of the new age” (105). </w:t>
      </w:r>
    </w:p>
  </w:footnote>
  <w:footnote w:id="11">
    <w:p w14:paraId="4BCEC3E6" w14:textId="77777777" w:rsidR="00886226" w:rsidRDefault="00886226">
      <w:pPr>
        <w:pStyle w:val="FootnoteText"/>
      </w:pPr>
      <w:r>
        <w:rPr>
          <w:rStyle w:val="FootnoteReference"/>
        </w:rPr>
        <w:footnoteRef/>
      </w:r>
      <w:r>
        <w:t xml:space="preserve"> Arendt’s notion of the world of “things” is worth comparing to the concept of things, which runs through Bruno Latour’s work.</w:t>
      </w:r>
    </w:p>
  </w:footnote>
  <w:footnote w:id="12">
    <w:p w14:paraId="563E3714" w14:textId="77777777" w:rsidR="00886226" w:rsidRDefault="00886226">
      <w:pPr>
        <w:pStyle w:val="FootnoteText"/>
      </w:pPr>
      <w:r>
        <w:rPr>
          <w:rStyle w:val="FootnoteReference"/>
        </w:rPr>
        <w:footnoteRef/>
      </w:r>
      <w:r>
        <w:t xml:space="preserve"> Chapter five is in three parts. Sections #24-28 describe action. Sections #29-32 analyze the fate of action, and sections #33 and #34 describe two potentialities which enable action to survive “the disabilities of non-sovereignty.”</w:t>
      </w:r>
    </w:p>
  </w:footnote>
  <w:footnote w:id="13">
    <w:p w14:paraId="2BD3E304" w14:textId="77777777" w:rsidR="00886226" w:rsidRDefault="00886226">
      <w:pPr>
        <w:pStyle w:val="FootnoteText"/>
      </w:pPr>
      <w:r>
        <w:rPr>
          <w:rStyle w:val="FootnoteReference"/>
        </w:rPr>
        <w:footnoteRef/>
      </w:r>
      <w:r>
        <w:t xml:space="preserve"> The first sentence of chapter five contains the following seven propositions in eighteen words: 1. Human plurality is the basic condition of action. 2. Human plurality is the basic condition of speech. 3. Human plurality has the character of equality. 4. Human plurality has the character of distinction. 5. Action and speech are alike in their basic condition of occurring. 6. Human plurality has the paradoxical character of exhibiting both equality and, what would seem incompatible, distinction. 7. Action, speech, plurality, equality, and distinction mutually define one another!</w:t>
      </w:r>
    </w:p>
  </w:footnote>
  <w:footnote w:id="14">
    <w:p w14:paraId="7AB8E7BE" w14:textId="77777777" w:rsidR="00886226" w:rsidRPr="007D7EC7" w:rsidRDefault="00886226">
      <w:pPr>
        <w:pStyle w:val="FootnoteText"/>
        <w:rPr>
          <w:i/>
        </w:rPr>
      </w:pPr>
      <w:r>
        <w:rPr>
          <w:rStyle w:val="FootnoteReference"/>
        </w:rPr>
        <w:footnoteRef/>
      </w:r>
      <w:r>
        <w:t xml:space="preserve"> </w:t>
      </w:r>
      <w:proofErr w:type="spellStart"/>
      <w:r>
        <w:t>Bernauer</w:t>
      </w:r>
      <w:proofErr w:type="spellEnd"/>
      <w:r>
        <w:t xml:space="preserve">, </w:t>
      </w:r>
      <w:r>
        <w:rPr>
          <w:i/>
        </w:rPr>
        <w:t>Amor Mundi</w:t>
      </w:r>
    </w:p>
  </w:footnote>
  <w:footnote w:id="15">
    <w:p w14:paraId="229F5551" w14:textId="77777777" w:rsidR="00886226" w:rsidRPr="00576FE9" w:rsidRDefault="00886226">
      <w:pPr>
        <w:pStyle w:val="FootnoteText"/>
      </w:pPr>
      <w:r>
        <w:rPr>
          <w:rStyle w:val="FootnoteReference"/>
        </w:rPr>
        <w:footnoteRef/>
      </w:r>
      <w:r>
        <w:t xml:space="preserve"> Elizabeth Young-</w:t>
      </w:r>
      <w:proofErr w:type="spellStart"/>
      <w:r>
        <w:t>Bruehl</w:t>
      </w:r>
      <w:proofErr w:type="spellEnd"/>
      <w:r>
        <w:t xml:space="preserve">, </w:t>
      </w:r>
      <w:r>
        <w:rPr>
          <w:i/>
        </w:rPr>
        <w:t>For Love of the World</w:t>
      </w:r>
      <w:r>
        <w:t xml:space="preserve">. </w:t>
      </w:r>
    </w:p>
  </w:footnote>
  <w:footnote w:id="16">
    <w:p w14:paraId="5598D07A" w14:textId="77777777" w:rsidR="00886226" w:rsidRDefault="00886226">
      <w:pPr>
        <w:pStyle w:val="FootnoteText"/>
      </w:pPr>
      <w:r>
        <w:rPr>
          <w:rStyle w:val="FootnoteReference"/>
        </w:rPr>
        <w:footnoteRef/>
      </w:r>
      <w:r>
        <w:t xml:space="preserve"> </w:t>
      </w:r>
      <w:r>
        <w:rPr>
          <w:i/>
        </w:rPr>
        <w:t>Hannah Arendt: A Reinterpretation of Her Political Thought</w:t>
      </w:r>
      <w:r>
        <w:t xml:space="preserve">, Cambridge: Cambridge University Press, 1992, p. 99. </w:t>
      </w:r>
    </w:p>
  </w:footnote>
  <w:footnote w:id="17">
    <w:p w14:paraId="6282C02B" w14:textId="77777777" w:rsidR="00886226" w:rsidRPr="001C5AFF" w:rsidRDefault="00886226" w:rsidP="0077076F">
      <w:pPr>
        <w:pStyle w:val="FootnoteText"/>
      </w:pPr>
    </w:p>
    <w:p w14:paraId="4D132862" w14:textId="77777777" w:rsidR="00886226" w:rsidRPr="0077076F" w:rsidRDefault="00886226">
      <w:pPr>
        <w:pStyle w:val="FootnoteText"/>
      </w:pPr>
    </w:p>
  </w:footnote>
  <w:footnote w:id="18">
    <w:p w14:paraId="73010D9E" w14:textId="77777777" w:rsidR="00886226" w:rsidRDefault="00886226"/>
    <w:p w14:paraId="0A745452" w14:textId="77777777" w:rsidR="00886226" w:rsidRDefault="00886226">
      <w:pPr>
        <w:pStyle w:val="FootnoteText"/>
      </w:pPr>
    </w:p>
  </w:footnote>
  <w:footnote w:id="19">
    <w:p w14:paraId="2BD39340" w14:textId="77777777" w:rsidR="00886226" w:rsidRDefault="00886226">
      <w:pPr>
        <w:pStyle w:val="FootnoteText"/>
      </w:pPr>
      <w:r>
        <w:rPr>
          <w:rStyle w:val="FootnoteReference"/>
        </w:rPr>
        <w:footnoteRef/>
      </w:r>
      <w:r>
        <w:rPr>
          <w:i/>
        </w:rPr>
        <w:t>Hannah Arendt: A Reinterpretation of Her Political Thought</w:t>
      </w:r>
      <w:r>
        <w:t xml:space="preserve">, Cambridge: Cambridge University Press, 1992, p. 281. </w:t>
      </w:r>
    </w:p>
  </w:footnote>
  <w:footnote w:id="20">
    <w:p w14:paraId="6EC4C056" w14:textId="77777777" w:rsidR="00886226" w:rsidRPr="001C5AFF" w:rsidRDefault="00886226" w:rsidP="008B7C54">
      <w:pPr>
        <w:pStyle w:val="FootnoteText"/>
      </w:pPr>
      <w:r>
        <w:rPr>
          <w:rStyle w:val="FootnoteReference"/>
        </w:rPr>
        <w:footnoteRef/>
      </w:r>
      <w:r>
        <w:rPr>
          <w:i/>
        </w:rPr>
        <w:t>Hannah Arendt: A Reinterpretation of Her Political Thought</w:t>
      </w:r>
      <w:r>
        <w:t xml:space="preserve">, Cambridge: Cambridge University Press, 1992, p. 1. </w:t>
      </w:r>
    </w:p>
  </w:footnote>
  <w:footnote w:id="21">
    <w:p w14:paraId="0D138507" w14:textId="77777777" w:rsidR="00886226" w:rsidRPr="00D90499" w:rsidRDefault="00886226" w:rsidP="00526FF7">
      <w:pPr>
        <w:rPr>
          <w:color w:val="000000"/>
          <w:sz w:val="20"/>
          <w:szCs w:val="20"/>
        </w:rPr>
      </w:pPr>
      <w:r w:rsidRPr="004F668F">
        <w:rPr>
          <w:rStyle w:val="FootnoteReference"/>
          <w:sz w:val="20"/>
          <w:szCs w:val="20"/>
        </w:rPr>
        <w:footnoteRef/>
      </w:r>
      <w:r w:rsidRPr="004F668F">
        <w:t xml:space="preserve"> </w:t>
      </w:r>
      <w:r>
        <w:rPr>
          <w:i/>
        </w:rPr>
        <w:t xml:space="preserve">Arendt and </w:t>
      </w:r>
      <w:r w:rsidRPr="00D14C23">
        <w:t>Heidegger</w:t>
      </w:r>
      <w:r>
        <w:t xml:space="preserve">, </w:t>
      </w:r>
      <w:r w:rsidRPr="00D14C23">
        <w:t>p</w:t>
      </w:r>
      <w:r w:rsidRPr="004F668F">
        <w:t xml:space="preserve">. 8, citing Ernst Vollrath, “Hannah Arendt and the Method of Political Thinking,” </w:t>
      </w:r>
      <w:r w:rsidRPr="004F668F">
        <w:rPr>
          <w:i/>
        </w:rPr>
        <w:t xml:space="preserve">Social Research, </w:t>
      </w:r>
      <w:r w:rsidRPr="004F668F">
        <w:t>No. 44 (1977), p. 163.</w:t>
      </w:r>
      <w:r w:rsidRPr="004F668F">
        <w:rPr>
          <w:rStyle w:val="HTMLTypewriter"/>
          <w:rFonts w:ascii="Times New Roman" w:hAnsi="Times New Roman"/>
          <w:color w:val="000000"/>
        </w:rPr>
        <w:t xml:space="preserve"> The collapse of tradition offers us the opportunity to rethink our concepts “without grounds” (p. 116), that is, without recourse to authority. “The groundlessness of action and judgment – the absence of any ‘bannisters’ or transcendent yardsticks that might tell us how to act and how to judge – is a theme that runs th</w:t>
      </w:r>
      <w:r>
        <w:rPr>
          <w:rStyle w:val="HTMLTypewriter"/>
          <w:rFonts w:ascii="Times New Roman" w:hAnsi="Times New Roman"/>
          <w:color w:val="000000"/>
        </w:rPr>
        <w:t>roughout Arendt’s work</w:t>
      </w:r>
      <w:r w:rsidRPr="00D90499">
        <w:rPr>
          <w:rStyle w:val="HTMLTypewriter"/>
          <w:rFonts w:ascii="Times New Roman" w:hAnsi="Times New Roman"/>
          <w:color w:val="000000"/>
        </w:rPr>
        <w:t>” (Ibid).</w:t>
      </w:r>
      <w:r w:rsidRPr="00D90499">
        <w:rPr>
          <w:rStyle w:val="FootnoteReference"/>
          <w:sz w:val="20"/>
          <w:szCs w:val="20"/>
        </w:rPr>
        <w:t xml:space="preserve"> </w:t>
      </w:r>
      <w:r w:rsidRPr="00D90499">
        <w:rPr>
          <w:sz w:val="20"/>
          <w:szCs w:val="20"/>
        </w:rPr>
        <w:t xml:space="preserve">Villa argues that the notion of “the nonsovereign freedom of action in the realm of plurality </w:t>
      </w:r>
      <w:r w:rsidRPr="00D90499">
        <w:rPr>
          <w:i/>
          <w:sz w:val="20"/>
          <w:szCs w:val="20"/>
        </w:rPr>
        <w:t>as freedom”</w:t>
      </w:r>
      <w:r w:rsidRPr="00D90499">
        <w:rPr>
          <w:sz w:val="20"/>
          <w:szCs w:val="20"/>
        </w:rPr>
        <w:t xml:space="preserve"> owes much to Heidegger, in particular his repudiation of the teleological concept of action</w:t>
      </w:r>
      <w:r w:rsidRPr="00D90499">
        <w:rPr>
          <w:i/>
          <w:sz w:val="20"/>
          <w:szCs w:val="20"/>
        </w:rPr>
        <w:t xml:space="preserve"> ( Arendt and Heidegger, </w:t>
      </w:r>
      <w:r w:rsidRPr="00D90499">
        <w:rPr>
          <w:sz w:val="20"/>
          <w:szCs w:val="20"/>
        </w:rPr>
        <w:t xml:space="preserve">120). Both sides of the juxtaposition we have been discussing have clear roots in Heidegger’s thought. Arendt regarded Heidegger’s concept of “world” as  “at the center of his philosophy” (Ibid.). And her use of  the distinctive locution, “the ‘who’”, is to be found in </w:t>
      </w:r>
      <w:r w:rsidRPr="00D90499">
        <w:rPr>
          <w:i/>
          <w:sz w:val="20"/>
          <w:szCs w:val="20"/>
        </w:rPr>
        <w:t xml:space="preserve">Being and Time </w:t>
      </w:r>
      <w:r w:rsidRPr="00D90499">
        <w:rPr>
          <w:sz w:val="20"/>
          <w:szCs w:val="20"/>
        </w:rPr>
        <w:t xml:space="preserve">(Ibid., 122, citing Heidegger, </w:t>
      </w:r>
      <w:r w:rsidRPr="00D90499">
        <w:rPr>
          <w:i/>
          <w:sz w:val="20"/>
          <w:szCs w:val="20"/>
        </w:rPr>
        <w:t>Being and Time,</w:t>
      </w:r>
      <w:r w:rsidRPr="00D90499">
        <w:rPr>
          <w:sz w:val="20"/>
          <w:szCs w:val="20"/>
        </w:rPr>
        <w:t xml:space="preserve"> translated by John </w:t>
      </w:r>
      <w:proofErr w:type="spellStart"/>
      <w:r w:rsidRPr="00D90499">
        <w:rPr>
          <w:sz w:val="20"/>
          <w:szCs w:val="20"/>
        </w:rPr>
        <w:t>Macquarrie</w:t>
      </w:r>
      <w:proofErr w:type="spellEnd"/>
      <w:r w:rsidRPr="00D90499">
        <w:rPr>
          <w:sz w:val="20"/>
          <w:szCs w:val="20"/>
        </w:rPr>
        <w:t xml:space="preserve"> &amp; Edward Robinson, London: SCM Press Ltd. 1962,  p.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56A9A" w14:textId="77777777" w:rsidR="00886226" w:rsidRDefault="00886226">
    <w:pPr>
      <w:pStyle w:val="Header"/>
    </w:pPr>
    <w:r>
      <w:fldChar w:fldCharType="begin"/>
    </w:r>
    <w:r>
      <w:instrText xml:space="preserve"> DATE \@ "M/d/yyyy" </w:instrText>
    </w:r>
    <w:r>
      <w:fldChar w:fldCharType="separate"/>
    </w:r>
    <w:r w:rsidR="001E3EAC">
      <w:rPr>
        <w:noProof/>
      </w:rPr>
      <w:t>3/16/2026</w:t>
    </w:r>
    <w:r>
      <w:fldChar w:fldCharType="end"/>
    </w:r>
    <w:r>
      <w:fldChar w:fldCharType="begin"/>
    </w:r>
    <w:r>
      <w:instrText xml:space="preserve"> DATE \@ "M/d/yyyy" </w:instrText>
    </w:r>
    <w:r>
      <w:fldChar w:fldCharType="separate"/>
    </w:r>
    <w:r w:rsidR="001E3EAC">
      <w:rPr>
        <w:noProof/>
      </w:rPr>
      <w:t>3/16/2026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DDE14" w14:textId="77777777" w:rsidR="00886226" w:rsidRPr="002D696D" w:rsidRDefault="00886226" w:rsidP="002D696D">
    <w:pPr>
      <w:pStyle w:val="Header"/>
    </w:pPr>
    <w:r>
      <w:fldChar w:fldCharType="begin"/>
    </w:r>
    <w:r>
      <w:instrText xml:space="preserve"> DATE \@ "M/d/yyyy" </w:instrText>
    </w:r>
    <w:r>
      <w:fldChar w:fldCharType="separate"/>
    </w:r>
    <w:r w:rsidR="001E3EAC">
      <w:rPr>
        <w:noProof/>
      </w:rPr>
      <w:t>3/16/2026</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201E99">
      <w:rPr>
        <w:rStyle w:val="PageNumber"/>
        <w:noProof/>
      </w:rPr>
      <w:t>12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1E"/>
    <w:rsid w:val="00006C61"/>
    <w:rsid w:val="00010A4A"/>
    <w:rsid w:val="0002348E"/>
    <w:rsid w:val="000312C9"/>
    <w:rsid w:val="0003188C"/>
    <w:rsid w:val="00051C29"/>
    <w:rsid w:val="0005294E"/>
    <w:rsid w:val="000534AF"/>
    <w:rsid w:val="00062FEE"/>
    <w:rsid w:val="000643FA"/>
    <w:rsid w:val="00076CE7"/>
    <w:rsid w:val="00076E66"/>
    <w:rsid w:val="00081092"/>
    <w:rsid w:val="00082EC2"/>
    <w:rsid w:val="0008505B"/>
    <w:rsid w:val="00086429"/>
    <w:rsid w:val="00090C41"/>
    <w:rsid w:val="000944DD"/>
    <w:rsid w:val="000A7DE9"/>
    <w:rsid w:val="000D6956"/>
    <w:rsid w:val="000E425A"/>
    <w:rsid w:val="000F564A"/>
    <w:rsid w:val="000F58DD"/>
    <w:rsid w:val="00111EDD"/>
    <w:rsid w:val="001130BF"/>
    <w:rsid w:val="00117542"/>
    <w:rsid w:val="00121FA1"/>
    <w:rsid w:val="00123B43"/>
    <w:rsid w:val="001250B3"/>
    <w:rsid w:val="00142C3E"/>
    <w:rsid w:val="001452DC"/>
    <w:rsid w:val="0015256E"/>
    <w:rsid w:val="0017112F"/>
    <w:rsid w:val="00176129"/>
    <w:rsid w:val="00177DB0"/>
    <w:rsid w:val="001921CE"/>
    <w:rsid w:val="00197274"/>
    <w:rsid w:val="001A0ED9"/>
    <w:rsid w:val="001C5AFF"/>
    <w:rsid w:val="001D0CBC"/>
    <w:rsid w:val="001D27E8"/>
    <w:rsid w:val="001D679B"/>
    <w:rsid w:val="001D76B7"/>
    <w:rsid w:val="001E0A2C"/>
    <w:rsid w:val="001E353A"/>
    <w:rsid w:val="001E3EAC"/>
    <w:rsid w:val="001F2455"/>
    <w:rsid w:val="001F303A"/>
    <w:rsid w:val="00201E99"/>
    <w:rsid w:val="002144FA"/>
    <w:rsid w:val="0021792D"/>
    <w:rsid w:val="0022425A"/>
    <w:rsid w:val="00225852"/>
    <w:rsid w:val="002341A3"/>
    <w:rsid w:val="00235B4F"/>
    <w:rsid w:val="00246581"/>
    <w:rsid w:val="0025010F"/>
    <w:rsid w:val="00255E6E"/>
    <w:rsid w:val="00266B0E"/>
    <w:rsid w:val="002727CC"/>
    <w:rsid w:val="0027622B"/>
    <w:rsid w:val="0029016E"/>
    <w:rsid w:val="00297AB2"/>
    <w:rsid w:val="002A06C5"/>
    <w:rsid w:val="002B205C"/>
    <w:rsid w:val="002C46A7"/>
    <w:rsid w:val="002D696D"/>
    <w:rsid w:val="002D6E38"/>
    <w:rsid w:val="002E65E9"/>
    <w:rsid w:val="002F7DA5"/>
    <w:rsid w:val="003031B6"/>
    <w:rsid w:val="003071A5"/>
    <w:rsid w:val="003169CB"/>
    <w:rsid w:val="0031711B"/>
    <w:rsid w:val="00317ABE"/>
    <w:rsid w:val="00320DFF"/>
    <w:rsid w:val="0032462D"/>
    <w:rsid w:val="003247EA"/>
    <w:rsid w:val="00326DE6"/>
    <w:rsid w:val="003337B0"/>
    <w:rsid w:val="0034109D"/>
    <w:rsid w:val="0034120B"/>
    <w:rsid w:val="00341AB5"/>
    <w:rsid w:val="00360AFE"/>
    <w:rsid w:val="00361ADB"/>
    <w:rsid w:val="0037365C"/>
    <w:rsid w:val="003775F6"/>
    <w:rsid w:val="00396724"/>
    <w:rsid w:val="003A5945"/>
    <w:rsid w:val="003B24F7"/>
    <w:rsid w:val="003C35D3"/>
    <w:rsid w:val="003C6098"/>
    <w:rsid w:val="003C6E14"/>
    <w:rsid w:val="004045C3"/>
    <w:rsid w:val="00404B5E"/>
    <w:rsid w:val="00405766"/>
    <w:rsid w:val="0041163A"/>
    <w:rsid w:val="00416821"/>
    <w:rsid w:val="00420E14"/>
    <w:rsid w:val="00423F94"/>
    <w:rsid w:val="004265F5"/>
    <w:rsid w:val="004369DC"/>
    <w:rsid w:val="00441093"/>
    <w:rsid w:val="00443817"/>
    <w:rsid w:val="00444C63"/>
    <w:rsid w:val="00444CE7"/>
    <w:rsid w:val="0045333A"/>
    <w:rsid w:val="00474B30"/>
    <w:rsid w:val="00476FA3"/>
    <w:rsid w:val="004832C8"/>
    <w:rsid w:val="00483AD0"/>
    <w:rsid w:val="004845E5"/>
    <w:rsid w:val="004848E6"/>
    <w:rsid w:val="00492F31"/>
    <w:rsid w:val="004A1A55"/>
    <w:rsid w:val="004B03CB"/>
    <w:rsid w:val="004B180B"/>
    <w:rsid w:val="004B5F0F"/>
    <w:rsid w:val="004C0286"/>
    <w:rsid w:val="004C0F26"/>
    <w:rsid w:val="004D58F0"/>
    <w:rsid w:val="004F43CD"/>
    <w:rsid w:val="004F4A93"/>
    <w:rsid w:val="004F668F"/>
    <w:rsid w:val="00516963"/>
    <w:rsid w:val="00526FF7"/>
    <w:rsid w:val="00572C01"/>
    <w:rsid w:val="00576FE9"/>
    <w:rsid w:val="00580E2F"/>
    <w:rsid w:val="00582D57"/>
    <w:rsid w:val="00587816"/>
    <w:rsid w:val="00595F96"/>
    <w:rsid w:val="005A0217"/>
    <w:rsid w:val="005A26F5"/>
    <w:rsid w:val="005D142B"/>
    <w:rsid w:val="005D44DC"/>
    <w:rsid w:val="005D56FD"/>
    <w:rsid w:val="005E147A"/>
    <w:rsid w:val="005E7D47"/>
    <w:rsid w:val="005F7438"/>
    <w:rsid w:val="0060172F"/>
    <w:rsid w:val="00606E65"/>
    <w:rsid w:val="006108CE"/>
    <w:rsid w:val="00613152"/>
    <w:rsid w:val="00631A3E"/>
    <w:rsid w:val="006404DC"/>
    <w:rsid w:val="00646823"/>
    <w:rsid w:val="00657B40"/>
    <w:rsid w:val="006625A2"/>
    <w:rsid w:val="00670924"/>
    <w:rsid w:val="00673289"/>
    <w:rsid w:val="00676F7E"/>
    <w:rsid w:val="00692C9B"/>
    <w:rsid w:val="00694ADB"/>
    <w:rsid w:val="00695D48"/>
    <w:rsid w:val="006A1142"/>
    <w:rsid w:val="006A3398"/>
    <w:rsid w:val="006A577E"/>
    <w:rsid w:val="006A7FD1"/>
    <w:rsid w:val="006C0C69"/>
    <w:rsid w:val="006C2F65"/>
    <w:rsid w:val="006D78F9"/>
    <w:rsid w:val="006E437B"/>
    <w:rsid w:val="006F0748"/>
    <w:rsid w:val="006F56BD"/>
    <w:rsid w:val="00710987"/>
    <w:rsid w:val="00713296"/>
    <w:rsid w:val="007229D1"/>
    <w:rsid w:val="00725060"/>
    <w:rsid w:val="0073227F"/>
    <w:rsid w:val="00735782"/>
    <w:rsid w:val="00735AC6"/>
    <w:rsid w:val="0074080D"/>
    <w:rsid w:val="00741298"/>
    <w:rsid w:val="00743E3A"/>
    <w:rsid w:val="0077076F"/>
    <w:rsid w:val="007707CF"/>
    <w:rsid w:val="00770931"/>
    <w:rsid w:val="00791426"/>
    <w:rsid w:val="007B1FB1"/>
    <w:rsid w:val="007B5665"/>
    <w:rsid w:val="007D111E"/>
    <w:rsid w:val="007D7EC7"/>
    <w:rsid w:val="00807901"/>
    <w:rsid w:val="00816BB0"/>
    <w:rsid w:val="00831DBE"/>
    <w:rsid w:val="00833D5C"/>
    <w:rsid w:val="00835827"/>
    <w:rsid w:val="00837251"/>
    <w:rsid w:val="00861D3A"/>
    <w:rsid w:val="008637D0"/>
    <w:rsid w:val="00867372"/>
    <w:rsid w:val="00870491"/>
    <w:rsid w:val="008736B1"/>
    <w:rsid w:val="008824ED"/>
    <w:rsid w:val="00886226"/>
    <w:rsid w:val="00887A6F"/>
    <w:rsid w:val="008953C9"/>
    <w:rsid w:val="00896382"/>
    <w:rsid w:val="008B0AE6"/>
    <w:rsid w:val="008B4A79"/>
    <w:rsid w:val="008B4AE4"/>
    <w:rsid w:val="008B5C9D"/>
    <w:rsid w:val="008B7C54"/>
    <w:rsid w:val="008C28A0"/>
    <w:rsid w:val="008C31EE"/>
    <w:rsid w:val="008C43A1"/>
    <w:rsid w:val="008C466A"/>
    <w:rsid w:val="008C655A"/>
    <w:rsid w:val="008D165D"/>
    <w:rsid w:val="008D1F3C"/>
    <w:rsid w:val="008D7562"/>
    <w:rsid w:val="008F15CD"/>
    <w:rsid w:val="008F76EC"/>
    <w:rsid w:val="00907BB3"/>
    <w:rsid w:val="009127B9"/>
    <w:rsid w:val="00922A17"/>
    <w:rsid w:val="009325DE"/>
    <w:rsid w:val="00933F4B"/>
    <w:rsid w:val="00940984"/>
    <w:rsid w:val="009417A8"/>
    <w:rsid w:val="00942048"/>
    <w:rsid w:val="009449E3"/>
    <w:rsid w:val="00952584"/>
    <w:rsid w:val="00965173"/>
    <w:rsid w:val="00965E18"/>
    <w:rsid w:val="009665BD"/>
    <w:rsid w:val="00974B48"/>
    <w:rsid w:val="00976682"/>
    <w:rsid w:val="00985142"/>
    <w:rsid w:val="009902F6"/>
    <w:rsid w:val="009A2FE5"/>
    <w:rsid w:val="009B74A3"/>
    <w:rsid w:val="009D2798"/>
    <w:rsid w:val="009E3AF0"/>
    <w:rsid w:val="009E5D93"/>
    <w:rsid w:val="009F4DBB"/>
    <w:rsid w:val="009F506B"/>
    <w:rsid w:val="00A01C85"/>
    <w:rsid w:val="00A0239C"/>
    <w:rsid w:val="00A1210A"/>
    <w:rsid w:val="00A20152"/>
    <w:rsid w:val="00A209F3"/>
    <w:rsid w:val="00A25588"/>
    <w:rsid w:val="00A30305"/>
    <w:rsid w:val="00A42439"/>
    <w:rsid w:val="00A44CF2"/>
    <w:rsid w:val="00A561E0"/>
    <w:rsid w:val="00A56391"/>
    <w:rsid w:val="00A57EF0"/>
    <w:rsid w:val="00A648D2"/>
    <w:rsid w:val="00A718ED"/>
    <w:rsid w:val="00A72B58"/>
    <w:rsid w:val="00A81FFE"/>
    <w:rsid w:val="00A94A7D"/>
    <w:rsid w:val="00A96746"/>
    <w:rsid w:val="00AA2C4E"/>
    <w:rsid w:val="00AA4825"/>
    <w:rsid w:val="00AA485A"/>
    <w:rsid w:val="00AB014E"/>
    <w:rsid w:val="00AB191A"/>
    <w:rsid w:val="00AB2D42"/>
    <w:rsid w:val="00AC29D6"/>
    <w:rsid w:val="00AC63BC"/>
    <w:rsid w:val="00AE1EF6"/>
    <w:rsid w:val="00B16597"/>
    <w:rsid w:val="00B320DF"/>
    <w:rsid w:val="00B37842"/>
    <w:rsid w:val="00B409A9"/>
    <w:rsid w:val="00B5689F"/>
    <w:rsid w:val="00B6014C"/>
    <w:rsid w:val="00B624D3"/>
    <w:rsid w:val="00B630BD"/>
    <w:rsid w:val="00B653F6"/>
    <w:rsid w:val="00B67280"/>
    <w:rsid w:val="00B70A23"/>
    <w:rsid w:val="00B73070"/>
    <w:rsid w:val="00B7547E"/>
    <w:rsid w:val="00B83155"/>
    <w:rsid w:val="00B838B5"/>
    <w:rsid w:val="00B938DE"/>
    <w:rsid w:val="00BD383F"/>
    <w:rsid w:val="00BD41DB"/>
    <w:rsid w:val="00BD564C"/>
    <w:rsid w:val="00BD7761"/>
    <w:rsid w:val="00BF6B72"/>
    <w:rsid w:val="00C232E6"/>
    <w:rsid w:val="00C25422"/>
    <w:rsid w:val="00C329B6"/>
    <w:rsid w:val="00C430BC"/>
    <w:rsid w:val="00C626BE"/>
    <w:rsid w:val="00C67503"/>
    <w:rsid w:val="00C7385A"/>
    <w:rsid w:val="00C83328"/>
    <w:rsid w:val="00C83F86"/>
    <w:rsid w:val="00C86EA9"/>
    <w:rsid w:val="00C900E2"/>
    <w:rsid w:val="00CB3DCE"/>
    <w:rsid w:val="00CB612C"/>
    <w:rsid w:val="00CB6BDC"/>
    <w:rsid w:val="00CC26BE"/>
    <w:rsid w:val="00CC4D10"/>
    <w:rsid w:val="00CC605D"/>
    <w:rsid w:val="00CC69EC"/>
    <w:rsid w:val="00CF70FF"/>
    <w:rsid w:val="00D10406"/>
    <w:rsid w:val="00D14C23"/>
    <w:rsid w:val="00D16714"/>
    <w:rsid w:val="00D20060"/>
    <w:rsid w:val="00D2575B"/>
    <w:rsid w:val="00D3209C"/>
    <w:rsid w:val="00D33139"/>
    <w:rsid w:val="00D465C3"/>
    <w:rsid w:val="00D51E23"/>
    <w:rsid w:val="00D53998"/>
    <w:rsid w:val="00D53CFB"/>
    <w:rsid w:val="00D55298"/>
    <w:rsid w:val="00D559DB"/>
    <w:rsid w:val="00D57044"/>
    <w:rsid w:val="00D57C52"/>
    <w:rsid w:val="00D62088"/>
    <w:rsid w:val="00D7420F"/>
    <w:rsid w:val="00D8661E"/>
    <w:rsid w:val="00D90499"/>
    <w:rsid w:val="00D93903"/>
    <w:rsid w:val="00D95E4C"/>
    <w:rsid w:val="00DB7BD2"/>
    <w:rsid w:val="00DC52D7"/>
    <w:rsid w:val="00DF39F2"/>
    <w:rsid w:val="00DF47DA"/>
    <w:rsid w:val="00E107CB"/>
    <w:rsid w:val="00E14C58"/>
    <w:rsid w:val="00E168C6"/>
    <w:rsid w:val="00E2073E"/>
    <w:rsid w:val="00E21346"/>
    <w:rsid w:val="00E23493"/>
    <w:rsid w:val="00E24DF5"/>
    <w:rsid w:val="00E41015"/>
    <w:rsid w:val="00E47E3F"/>
    <w:rsid w:val="00E5261E"/>
    <w:rsid w:val="00E6657E"/>
    <w:rsid w:val="00E67338"/>
    <w:rsid w:val="00E708EC"/>
    <w:rsid w:val="00E77BF2"/>
    <w:rsid w:val="00E84C36"/>
    <w:rsid w:val="00E87F23"/>
    <w:rsid w:val="00E96862"/>
    <w:rsid w:val="00E97DEB"/>
    <w:rsid w:val="00EA1AD1"/>
    <w:rsid w:val="00EA4CF0"/>
    <w:rsid w:val="00EA5792"/>
    <w:rsid w:val="00EC57DC"/>
    <w:rsid w:val="00EC66C2"/>
    <w:rsid w:val="00ED0E37"/>
    <w:rsid w:val="00ED4F2B"/>
    <w:rsid w:val="00EE4597"/>
    <w:rsid w:val="00EE7A7A"/>
    <w:rsid w:val="00EF597F"/>
    <w:rsid w:val="00F006A0"/>
    <w:rsid w:val="00F12F1F"/>
    <w:rsid w:val="00F2586E"/>
    <w:rsid w:val="00F260CC"/>
    <w:rsid w:val="00F30022"/>
    <w:rsid w:val="00F311C6"/>
    <w:rsid w:val="00F564B6"/>
    <w:rsid w:val="00F6590D"/>
    <w:rsid w:val="00F66A27"/>
    <w:rsid w:val="00F77411"/>
    <w:rsid w:val="00F94B0C"/>
    <w:rsid w:val="00FA7016"/>
    <w:rsid w:val="00FC0119"/>
    <w:rsid w:val="00FC012E"/>
    <w:rsid w:val="00FC1A25"/>
    <w:rsid w:val="00FD7588"/>
    <w:rsid w:val="00FE448F"/>
    <w:rsid w:val="00FE4AA4"/>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65D2A"/>
  <w14:defaultImageDpi w14:val="32767"/>
  <w15:chartTrackingRefBased/>
  <w15:docId w15:val="{7C7F65AD-505D-C64F-BC0C-DB650C94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Typewriter">
    <w:name w:val="HTML Typewriter"/>
    <w:rPr>
      <w:rFonts w:ascii="Courier New" w:eastAsia="Times New Roman" w:hAnsi="Courier New"/>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E5261E"/>
    <w:rPr>
      <w:rFonts w:ascii="Tahoma" w:hAnsi="Tahoma" w:cs="Tahoma"/>
      <w:sz w:val="16"/>
      <w:szCs w:val="16"/>
    </w:rPr>
  </w:style>
  <w:style w:type="paragraph" w:styleId="Header">
    <w:name w:val="header"/>
    <w:basedOn w:val="Normal"/>
    <w:rsid w:val="002D696D"/>
    <w:pPr>
      <w:tabs>
        <w:tab w:val="center" w:pos="4320"/>
        <w:tab w:val="right" w:pos="8640"/>
      </w:tabs>
    </w:pPr>
  </w:style>
  <w:style w:type="paragraph" w:styleId="Footer">
    <w:name w:val="footer"/>
    <w:basedOn w:val="Normal"/>
    <w:rsid w:val="002D696D"/>
    <w:pPr>
      <w:tabs>
        <w:tab w:val="center" w:pos="4320"/>
        <w:tab w:val="right" w:pos="8640"/>
      </w:tabs>
    </w:pPr>
  </w:style>
  <w:style w:type="character" w:styleId="PageNumber">
    <w:name w:val="page number"/>
    <w:basedOn w:val="DefaultParagraphFont"/>
    <w:rsid w:val="002D696D"/>
  </w:style>
  <w:style w:type="table" w:styleId="TableGrid">
    <w:name w:val="Table Grid"/>
    <w:basedOn w:val="TableNormal"/>
    <w:rsid w:val="00CF7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6523</Words>
  <Characters>38226</Characters>
  <Application>Microsoft Office Word</Application>
  <DocSecurity>0</DocSecurity>
  <Lines>502</Lines>
  <Paragraphs>83</Paragraphs>
  <ScaleCrop>false</ScaleCrop>
  <HeadingPairs>
    <vt:vector size="2" baseType="variant">
      <vt:variant>
        <vt:lpstr>Title</vt:lpstr>
      </vt:variant>
      <vt:variant>
        <vt:i4>1</vt:i4>
      </vt:variant>
    </vt:vector>
  </HeadingPairs>
  <TitlesOfParts>
    <vt:vector size="1" baseType="lpstr">
      <vt:lpstr>A Guide to Reading Hannah Arendt’s The Human Condition</vt:lpstr>
    </vt:vector>
  </TitlesOfParts>
  <Company>Walnut Solutions, Inc.</Company>
  <LinksUpToDate>false</LinksUpToDate>
  <CharactersWithSpaces>44666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Reading Hannah Arendt’s The Human Condition</dc:title>
  <dc:subject/>
  <dc:creator>Administrator</dc:creator>
  <cp:keywords/>
  <dc:description/>
  <cp:lastModifiedBy>Valerie Wallace</cp:lastModifiedBy>
  <cp:revision>2</cp:revision>
  <cp:lastPrinted>2007-08-10T02:18:00Z</cp:lastPrinted>
  <dcterms:created xsi:type="dcterms:W3CDTF">2026-03-16T22:38:00Z</dcterms:created>
  <dcterms:modified xsi:type="dcterms:W3CDTF">2026-03-16T22:38:00Z</dcterms:modified>
</cp:coreProperties>
</file>