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26C1" w14:textId="77777777" w:rsidR="00043DFE" w:rsidRPr="008B53CB" w:rsidRDefault="00043DFE" w:rsidP="00043DFE">
      <w:pPr>
        <w:jc w:val="center"/>
        <w:rPr>
          <w:b/>
        </w:rPr>
      </w:pPr>
      <w:bookmarkStart w:id="0" w:name="OLE_LINK1"/>
      <w:bookmarkStart w:id="1" w:name="OLE_LINK2"/>
      <w:r w:rsidRPr="008B53CB">
        <w:rPr>
          <w:b/>
        </w:rPr>
        <w:t>Monetary Reform Requires a New Birth of Democracy</w:t>
      </w:r>
    </w:p>
    <w:bookmarkEnd w:id="0"/>
    <w:bookmarkEnd w:id="1"/>
    <w:p w14:paraId="5BB214BC" w14:textId="5B9AC770" w:rsidR="004C4ABE" w:rsidRDefault="004C4ABE" w:rsidP="004C4ABE">
      <w:pPr>
        <w:jc w:val="center"/>
        <w:rPr>
          <w:b/>
        </w:rPr>
      </w:pPr>
      <w:r w:rsidRPr="00CB2985">
        <w:rPr>
          <w:b/>
        </w:rPr>
        <w:t>APPENDIX</w:t>
      </w:r>
    </w:p>
    <w:p w14:paraId="19BD97D2" w14:textId="77777777" w:rsidR="00043DFE" w:rsidRDefault="00043DFE" w:rsidP="00043DFE">
      <w:pPr>
        <w:jc w:val="center"/>
      </w:pPr>
    </w:p>
    <w:p w14:paraId="54B4BD50" w14:textId="77777777" w:rsidR="00043DFE" w:rsidRPr="00CB2985" w:rsidRDefault="00043DFE" w:rsidP="004C4ABE">
      <w:pPr>
        <w:jc w:val="center"/>
        <w:rPr>
          <w:b/>
        </w:rPr>
      </w:pPr>
    </w:p>
    <w:p w14:paraId="59D24DBB" w14:textId="77777777" w:rsidR="004C4ABE" w:rsidRPr="00342EC8" w:rsidRDefault="004C4ABE" w:rsidP="004C4ABE">
      <w:r>
        <w:rPr>
          <w:b/>
        </w:rPr>
        <w:tab/>
      </w:r>
      <w:r>
        <w:t xml:space="preserve">In </w:t>
      </w:r>
      <w:r>
        <w:rPr>
          <w:i/>
        </w:rPr>
        <w:t xml:space="preserve">Caring for Souls, </w:t>
      </w:r>
      <w:r>
        <w:t xml:space="preserve">Bruce Rogers-Vaughn points out that “individuals do not appear as uniform, static monads,” or as “a sack of potatoes.” He goes on to refer to “psychoanalytic object relations theories” which “understand the individual psyche [or soul!] as constituted by the ‘internalization’ of all the intersubjective experiences from birth onward, that have affective significance for that individual. In effect, the individual is a system of relationships in dynamic relation. </w:t>
      </w:r>
      <w:r w:rsidRPr="007C11A6">
        <w:rPr>
          <w:b/>
        </w:rPr>
        <w:t>The individual is a community</w:t>
      </w:r>
      <w:r>
        <w:t xml:space="preserve"> [!], yet manifesting her own agency. Recent object relations theorists have contended that </w:t>
      </w:r>
      <w:r w:rsidRPr="00080B75">
        <w:rPr>
          <w:b/>
        </w:rPr>
        <w:t>internalizations forming the psyche are not limited to private and familial relationships, but include the entire social and political environment</w:t>
      </w:r>
      <w:r>
        <w:t xml:space="preserve">” (p. 68). </w:t>
      </w:r>
    </w:p>
    <w:p w14:paraId="73FCEC2D" w14:textId="77777777" w:rsidR="004C4ABE" w:rsidRPr="00CB2985" w:rsidRDefault="004C4ABE" w:rsidP="004C4ABE">
      <w:pPr>
        <w:shd w:val="clear" w:color="auto" w:fill="FFFFFF"/>
        <w:rPr>
          <w:rFonts w:eastAsia="Times New Roman"/>
          <w:color w:val="222222"/>
        </w:rPr>
      </w:pPr>
      <w:r>
        <w:rPr>
          <w:rFonts w:eastAsia="Times New Roman"/>
          <w:color w:val="222222"/>
        </w:rPr>
        <w:tab/>
      </w:r>
      <w:r w:rsidRPr="00CB2985">
        <w:rPr>
          <w:rFonts w:eastAsia="Times New Roman"/>
          <w:color w:val="222222"/>
        </w:rPr>
        <w:t>In its extreme forms neoliberalism views humans as infantile, never outgrowing their earliest uncontrolled desires. This attitude shows up in behavior that characterizes the excesses of much of the capitalist class, playing with the globe as if were a toy, competing for the biggest yacht, the most houses, cars, the most expensive private plane, buying their own island, treating the financial market as a casino. If this strikes you as exaggerated, consider the behavior of the 45</w:t>
      </w:r>
      <w:r>
        <w:rPr>
          <w:rFonts w:eastAsia="Times New Roman"/>
          <w:color w:val="222222"/>
        </w:rPr>
        <w:t>t</w:t>
      </w:r>
      <w:r w:rsidRPr="00CB2985">
        <w:rPr>
          <w:rFonts w:eastAsia="Times New Roman"/>
          <w:color w:val="222222"/>
        </w:rPr>
        <w:t>h occupant of the Office of President of the United States, when the expression “adults in the room” was understood not to include the President.</w:t>
      </w:r>
      <w:r>
        <w:rPr>
          <w:rStyle w:val="FootnoteReference"/>
          <w:rFonts w:eastAsia="Times New Roman"/>
          <w:color w:val="222222"/>
        </w:rPr>
        <w:footnoteReference w:id="1"/>
      </w:r>
      <w:r w:rsidRPr="00CB2985">
        <w:rPr>
          <w:rFonts w:eastAsia="Times New Roman"/>
          <w:color w:val="222222"/>
        </w:rPr>
        <w:t xml:space="preserve"> This view shows up also in privatized neoliberal </w:t>
      </w:r>
      <w:r w:rsidRPr="00CB2985">
        <w:rPr>
          <w:rFonts w:eastAsia="Times New Roman"/>
          <w:b/>
          <w:color w:val="222222"/>
        </w:rPr>
        <w:t>policies</w:t>
      </w:r>
      <w:r w:rsidRPr="00CB2985">
        <w:rPr>
          <w:rFonts w:eastAsia="Times New Roman"/>
          <w:color w:val="222222"/>
        </w:rPr>
        <w:t xml:space="preserve"> such as indifference regarding prenatal care, infancy and childhood, despite the rhetoric of family values, and concern for the life of the fetus. </w:t>
      </w:r>
    </w:p>
    <w:p w14:paraId="48FD741B" w14:textId="77777777" w:rsidR="004C4ABE" w:rsidRPr="00CB2985" w:rsidRDefault="004C4ABE" w:rsidP="004C4ABE">
      <w:pPr>
        <w:shd w:val="clear" w:color="auto" w:fill="FFFFFF"/>
        <w:rPr>
          <w:rFonts w:eastAsia="Times New Roman"/>
          <w:color w:val="222222"/>
        </w:rPr>
      </w:pPr>
      <w:r w:rsidRPr="00CB2985">
        <w:rPr>
          <w:rFonts w:eastAsia="Times New Roman"/>
          <w:color w:val="222222"/>
        </w:rPr>
        <w:tab/>
        <w:t xml:space="preserve">The contrast could not be more stark when compared with Danielle Allen’s fully fleshed out view of humans as capable of democratic </w:t>
      </w:r>
      <w:r w:rsidRPr="00CB2985">
        <w:rPr>
          <w:rFonts w:eastAsia="Times New Roman"/>
          <w:b/>
          <w:color w:val="222222"/>
        </w:rPr>
        <w:t>citizenship</w:t>
      </w:r>
      <w:r w:rsidRPr="00CB2985">
        <w:rPr>
          <w:rFonts w:eastAsia="Times New Roman"/>
          <w:color w:val="222222"/>
        </w:rPr>
        <w:t>, as “</w:t>
      </w:r>
      <w:r w:rsidRPr="00CB2985">
        <w:rPr>
          <w:rFonts w:eastAsia="Times New Roman"/>
          <w:b/>
          <w:color w:val="222222"/>
        </w:rPr>
        <w:t>equality of agency.</w:t>
      </w:r>
      <w:r w:rsidRPr="00CB2985">
        <w:rPr>
          <w:rFonts w:eastAsia="Times New Roman"/>
          <w:color w:val="222222"/>
        </w:rPr>
        <w:t>” (</w:t>
      </w:r>
      <w:r w:rsidRPr="00CB2985">
        <w:rPr>
          <w:rFonts w:eastAsia="Times New Roman"/>
          <w:i/>
          <w:color w:val="222222"/>
        </w:rPr>
        <w:t xml:space="preserve">Our Declaration, </w:t>
      </w:r>
      <w:r w:rsidRPr="00CB2985">
        <w:rPr>
          <w:rFonts w:eastAsia="Times New Roman"/>
          <w:color w:val="222222"/>
        </w:rPr>
        <w:t>p. 246)</w:t>
      </w:r>
      <w:r w:rsidRPr="00CB2985">
        <w:rPr>
          <w:rFonts w:eastAsia="Times New Roman"/>
          <w:i/>
          <w:color w:val="222222"/>
        </w:rPr>
        <w:t xml:space="preserve"> </w:t>
      </w:r>
      <w:r w:rsidRPr="00CB2985">
        <w:rPr>
          <w:rFonts w:eastAsia="Times New Roman"/>
          <w:color w:val="222222"/>
        </w:rPr>
        <w:t>We as persons are each and all equally “</w:t>
      </w:r>
      <w:r w:rsidRPr="00CB2985">
        <w:rPr>
          <w:rFonts w:eastAsia="Times New Roman"/>
          <w:b/>
          <w:color w:val="222222"/>
        </w:rPr>
        <w:t>endowed,</w:t>
      </w:r>
      <w:r w:rsidRPr="00CB2985">
        <w:rPr>
          <w:rFonts w:eastAsia="Times New Roman"/>
          <w:color w:val="222222"/>
        </w:rPr>
        <w:t xml:space="preserve">” that is, </w:t>
      </w:r>
      <w:r>
        <w:rPr>
          <w:rFonts w:eastAsia="Times New Roman"/>
          <w:color w:val="222222"/>
        </w:rPr>
        <w:t xml:space="preserve">have </w:t>
      </w:r>
      <w:r w:rsidRPr="00CB2985">
        <w:rPr>
          <w:rFonts w:eastAsia="Times New Roman"/>
          <w:color w:val="222222"/>
        </w:rPr>
        <w:t>inherited by b</w:t>
      </w:r>
      <w:r>
        <w:rPr>
          <w:rFonts w:eastAsia="Times New Roman"/>
          <w:color w:val="222222"/>
        </w:rPr>
        <w:t xml:space="preserve">irth into the human family </w:t>
      </w:r>
      <w:r w:rsidRPr="00CB2985">
        <w:rPr>
          <w:rFonts w:eastAsia="Times New Roman"/>
          <w:color w:val="222222"/>
        </w:rPr>
        <w:t xml:space="preserve">the capacity to be co-creators of our common world. Similarly, Hannah Arendt: “The miracle that saves the world, the realm of human affairs . . . is ultimately the fact of </w:t>
      </w:r>
      <w:r w:rsidRPr="00CB2985">
        <w:rPr>
          <w:rFonts w:eastAsia="Times New Roman"/>
          <w:b/>
          <w:color w:val="222222"/>
        </w:rPr>
        <w:t>natality</w:t>
      </w:r>
      <w:r w:rsidRPr="00CB2985">
        <w:rPr>
          <w:rFonts w:eastAsia="Times New Roman"/>
          <w:color w:val="222222"/>
        </w:rPr>
        <w:t>, in which the faculty of action is ontologically rooted.” In other words, our capacity for action, our agency, is rooted in the reality of what it means to be human. Natality, in other words, refers to the birth of new men [sic!] and the new beginning, the action they are capable of by virtue of being born” (</w:t>
      </w:r>
      <w:r w:rsidRPr="00CB2985">
        <w:rPr>
          <w:rFonts w:eastAsia="Times New Roman"/>
          <w:i/>
          <w:color w:val="222222"/>
        </w:rPr>
        <w:t xml:space="preserve">The Human Condition, </w:t>
      </w:r>
      <w:r w:rsidRPr="00CB2985">
        <w:rPr>
          <w:rFonts w:eastAsia="Times New Roman"/>
          <w:color w:val="222222"/>
        </w:rPr>
        <w:t xml:space="preserve">p. 247). </w:t>
      </w:r>
    </w:p>
    <w:p w14:paraId="3E5C1018" w14:textId="77777777" w:rsidR="004C4ABE" w:rsidRPr="00CB2985" w:rsidRDefault="004C4ABE" w:rsidP="004C4ABE">
      <w:r w:rsidRPr="00CB2985">
        <w:tab/>
        <w:t xml:space="preserve">In this appendix I want to reflect briefly on these two views by drawing on the work of the psychoanalyst, Thomas Ogden on early (pre-oedipal) infant psychic development, </w:t>
      </w:r>
      <w:r>
        <w:t xml:space="preserve">Ogden in turn </w:t>
      </w:r>
      <w:r w:rsidRPr="00CB2985">
        <w:t xml:space="preserve">building on the work of Donald Winnicott. What </w:t>
      </w:r>
      <w:r w:rsidRPr="00CB2985">
        <w:rPr>
          <w:b/>
        </w:rPr>
        <w:t>are</w:t>
      </w:r>
      <w:r w:rsidRPr="00CB2985">
        <w:t xml:space="preserve"> human infants like fresh from the womb? My reflections are essentially </w:t>
      </w:r>
      <w:r w:rsidRPr="00CB2985">
        <w:rPr>
          <w:b/>
        </w:rPr>
        <w:t>questions to psychoanalysts</w:t>
      </w:r>
      <w:r w:rsidRPr="00CB2985">
        <w:t xml:space="preserve"> about certain aspects of the views of Allen and Arendt that have to do with neo-natal human nature. What has prompted this comparison is Ogden’s notion of “subjectivity” as “a sense of oneself as </w:t>
      </w:r>
      <w:r w:rsidRPr="00CB2985">
        <w:rPr>
          <w:b/>
        </w:rPr>
        <w:t>creator of meanings</w:t>
      </w:r>
      <w:r w:rsidRPr="00CB2985">
        <w:t xml:space="preserve">” (p. 217. My bolding), his account of </w:t>
      </w:r>
      <w:r w:rsidRPr="00CB2985">
        <w:rPr>
          <w:b/>
        </w:rPr>
        <w:t>the process by which the infant becomes “the creator and interpreter of his symbols</w:t>
      </w:r>
      <w:r w:rsidRPr="00CB2985">
        <w:t xml:space="preserve">” (p. 213). It seems to me that Ogden’s psychoanalytical account is, at a minimum, worth consideration as support for what we could call a “high” view of human nature, in contrast to the “low” view of neoliberalism. </w:t>
      </w:r>
    </w:p>
    <w:p w14:paraId="6CE22BDA" w14:textId="77777777" w:rsidR="004C4ABE" w:rsidRPr="00CB2985" w:rsidRDefault="004C4ABE" w:rsidP="004C4ABE">
      <w:r w:rsidRPr="00CB2985">
        <w:lastRenderedPageBreak/>
        <w:tab/>
        <w:t xml:space="preserve">Likewise, the potential relevance to making symbolic worlds in Bruce Rogers-Vaughn’s work seems evident. </w:t>
      </w:r>
    </w:p>
    <w:p w14:paraId="3BB940CF" w14:textId="77777777" w:rsidR="004C4ABE" w:rsidRPr="00CB2985" w:rsidRDefault="004C4ABE" w:rsidP="004C4ABE">
      <w:r w:rsidRPr="00CB2985">
        <w:tab/>
        <w:t xml:space="preserve">There is a further element to add to Ogden’s picture before trying to say more about that relevance, namely the notion of “potential space” taken from Winnicott. A crucial step in the development of an infant is “the capacity to </w:t>
      </w:r>
      <w:r w:rsidRPr="00CB2985">
        <w:rPr>
          <w:b/>
        </w:rPr>
        <w:t>generate</w:t>
      </w:r>
      <w:r w:rsidRPr="00CB2985">
        <w:t xml:space="preserve"> personal meaning represented by symbols that are mediated by subjectivity (the experience of oneself as subject who has created one’s symbols).” This extraordinary capacity involves “differentiation of symbol, symbolized, </w:t>
      </w:r>
      <w:r w:rsidRPr="00CB2985">
        <w:rPr>
          <w:b/>
        </w:rPr>
        <w:t>and interpreting subject</w:t>
      </w:r>
      <w:r w:rsidRPr="00CB2985">
        <w:t xml:space="preserve">. … That </w:t>
      </w:r>
      <w:r w:rsidRPr="001D3D8E">
        <w:rPr>
          <w:b/>
        </w:rPr>
        <w:t xml:space="preserve">space </w:t>
      </w:r>
      <w:r w:rsidRPr="00CB2985">
        <w:t xml:space="preserve">between symbol and symbolized, mediated by an interpreting self, is the space in which </w:t>
      </w:r>
      <w:r w:rsidRPr="00CB2985">
        <w:rPr>
          <w:b/>
        </w:rPr>
        <w:t>creativity</w:t>
      </w:r>
      <w:r w:rsidRPr="00CB2985">
        <w:t xml:space="preserve"> becomes possible and is the space in which we are alive as human beings, </w:t>
      </w:r>
      <w:r w:rsidRPr="00CB2985">
        <w:rPr>
          <w:b/>
        </w:rPr>
        <w:t>as opposed to being simply</w:t>
      </w:r>
      <w:r w:rsidRPr="00CB2985">
        <w:t xml:space="preserve"> reflexively </w:t>
      </w:r>
      <w:r w:rsidRPr="00CB2985">
        <w:rPr>
          <w:b/>
        </w:rPr>
        <w:t>reactive</w:t>
      </w:r>
      <w:r w:rsidRPr="00CB2985">
        <w:t xml:space="preserve"> beings. This is Winnicott’s potential space” (p. 213).  </w:t>
      </w:r>
    </w:p>
    <w:p w14:paraId="4CF80D5B" w14:textId="77777777" w:rsidR="004C4ABE" w:rsidRDefault="004C4ABE" w:rsidP="004C4ABE">
      <w:r>
        <w:tab/>
        <w:t xml:space="preserve">I suggest that </w:t>
      </w:r>
      <w:r w:rsidRPr="005B404F">
        <w:rPr>
          <w:b/>
        </w:rPr>
        <w:t>Winnicott’s “potential space,” in infancy, has the features of genuine public space, political space at a micro scale</w:t>
      </w:r>
      <w:r w:rsidRPr="00CB2985">
        <w:t>.</w:t>
      </w:r>
      <w:r w:rsidRPr="002A72BA">
        <w:rPr>
          <w:rStyle w:val="FootnoteReference"/>
        </w:rPr>
        <w:t xml:space="preserve"> </w:t>
      </w:r>
      <w:r w:rsidRPr="00CB2985">
        <w:rPr>
          <w:rStyle w:val="FootnoteReference"/>
        </w:rPr>
        <w:footnoteReference w:id="2"/>
      </w:r>
      <w:r w:rsidRPr="00CB2985">
        <w:t xml:space="preserve"> The idea that “politics” can be found “in the crib” may strike some as scandalous, but only if one reduces “politics” to a reductive two-party version. In the larger sense of politics as power arrangements and negotiations, the experience of struggle over power and control begins early in infancy. When our daughter was three months old I came into our apartment one day to find both Mom Ruth and daughter Heidi in tears. </w:t>
      </w:r>
      <w:r>
        <w:t>Ruth had given Heidi a bottle for the first time Heidi had apparently decided it was much easier, and was determined not to nurse again. Ruth was just as determined to continue nursing her.</w:t>
      </w:r>
    </w:p>
    <w:p w14:paraId="632532D3" w14:textId="77777777" w:rsidR="004C4ABE" w:rsidRDefault="004C4ABE" w:rsidP="004C4ABE">
      <w:r>
        <w:tab/>
        <w:t xml:space="preserve">I want to turn now to an article on Arendt and psychoanalysis by Joel Whitebook which, I want to suggest, shows how dangerous the “infantile” view of neoliberalism can be and does so in terms that show how this danger is manifest in the form of a monetized world. </w:t>
      </w:r>
    </w:p>
    <w:p w14:paraId="251BAF88" w14:textId="77777777" w:rsidR="004C4ABE" w:rsidRDefault="004C4ABE" w:rsidP="004C4ABE">
      <w:r>
        <w:tab/>
        <w:t>In Whitebook’s article Arendt the classicist is the one repeating the Greek warning against freedom understood as unrestricted freedom to make money. “</w:t>
      </w:r>
      <w:r w:rsidRPr="005B404F">
        <w:rPr>
          <w:b/>
        </w:rPr>
        <w:t>For the Greeks, the function of economic activity should not be moneymaking with its ‘irresistible tendency to grow,’ as Arendt put it, but the provision of the necessities for the good life. And because those necessities were intrinsically limited, economic activity was limited as well. Like most premodern societies, the Greeks recognized that if the market were emancipated and the accumulation of wealth became an end-in-itself … a potentially unlimited dynamic would be introduced into the world. Such a dynamic would, in the long run, swamp all other essential elements of an ethical life predicated on limit.</w:t>
      </w:r>
      <w:r>
        <w:t xml:space="preserve">” (p. 247). </w:t>
      </w:r>
    </w:p>
    <w:p w14:paraId="3229B6F2" w14:textId="77777777" w:rsidR="004C4ABE" w:rsidRDefault="004C4ABE" w:rsidP="004C4ABE">
      <w:r>
        <w:tab/>
        <w:t xml:space="preserve">The significance of Arendt’s warning is the extreme circumstances under which it was issued, its radical terms, and, for this presentation, its grounding both in a view of human agency comparable to Allen’s and Arendt’s own signature devotion to a </w:t>
      </w:r>
      <w:r>
        <w:rPr>
          <w:i/>
        </w:rPr>
        <w:t xml:space="preserve">public </w:t>
      </w:r>
      <w:r>
        <w:t xml:space="preserve">world. I won’t try to expand on all three of these features. I want only to call attention to the terms of her warning, specifically, the concept of omnipotence. </w:t>
      </w:r>
    </w:p>
    <w:p w14:paraId="055C20C8" w14:textId="77777777" w:rsidR="004C4ABE" w:rsidRDefault="004C4ABE" w:rsidP="004C4ABE">
      <w:r>
        <w:lastRenderedPageBreak/>
        <w:tab/>
        <w:t>According to Whitebook, “when Arendt tries to determine the nature of ‘radical evil’ it begins to sound remarkably like the psychoanalytic concept of ‘omnipotence’” (p. 254). In fact, she used the term, saying, in a letter to Karl Jaspers, her friend and mentor, “that radical evil is not simply the product of ‘the lust for power,’ but arises from ‘the delusion of omnipotence. … And like the psychoanalytic theorists, Arendt sees omnipotence as deriving from the drive toward unification and the destruction of plurality – or of difference” (p. 254). She feels as if it, the radical evil unleashed in the delusion of omnipotence, has to with “</w:t>
      </w:r>
      <w:r>
        <w:rPr>
          <w:i/>
        </w:rPr>
        <w:t>making human beings as human beings superfluous</w:t>
      </w:r>
      <w:r>
        <w:t xml:space="preserve">” (p. 255). The “total domination” of the camps sought to create “a world of conditioned reflexes, of marionettes without the slightest trace of spontaneity. … a state of existence where all human agency, and hence all human individuality, had been eliminated,” and individuals were reduced to “fungible units” that “can be exchanged at random for one another” (pp. 255-56). </w:t>
      </w:r>
    </w:p>
    <w:p w14:paraId="3A625B58" w14:textId="77777777" w:rsidR="004C4ABE" w:rsidRDefault="004C4ABE" w:rsidP="004C4ABE">
      <w:r>
        <w:tab/>
        <w:t xml:space="preserve">Whitebook again detects, “behind the desire for omnipotence … the wish for self-sufficiency – for monadic autarchy – so familiar to psychoanalysts, where the individual would need no one (or no thing) beyond himself or herself. If, Arendt argues, “an individual man qua man were omnipotent,” he would be self-sufficient, and “there is in fact no reason why men in the plural should exist at all.” Like the God of monotheism, the omnipotent man would be ‘one’” (256). </w:t>
      </w:r>
    </w:p>
    <w:p w14:paraId="6A570BC5" w14:textId="77777777" w:rsidR="004C4ABE" w:rsidRDefault="004C4ABE" w:rsidP="004C4ABE">
      <w:r>
        <w:tab/>
        <w:t>Arendt made no attempt to analyze “the nature of the wish for omnipotence,” which Whitebook considers a purely psychological question. He notes some attempts “within the Freudian mainstream” to address the problem of omnipotence “in terms of [the] earliest stage of development. He concludes, finally, by posing the question as to why this wish for omnipotence, if it is “a psychological constant,” became “unleashed in the twentieth century.” He points to two features: the massive advances of technological power, and the fact that “modern European society was the first in history not only to allow the introduction of a potentially infinite into the world, but also to celebrate it. The latter has taken the form of unleashed capitalism: “The unprecedented marriage of the endlessly expanding capitalist economy with modern science and technology has introduced a metastatic dynamic into the world that methodically destroys the traditional normative and social constraints.”</w:t>
      </w:r>
    </w:p>
    <w:p w14:paraId="286B6560" w14:textId="77777777" w:rsidR="004C4ABE" w:rsidRDefault="004C4ABE" w:rsidP="004C4ABE">
      <w:pPr>
        <w:rPr>
          <w:rFonts w:ascii="ariel" w:hAnsi="ariel"/>
        </w:rPr>
      </w:pPr>
      <w:r>
        <w:tab/>
        <w:t>Story, and history, plays a central role in Bruce’s account of neoliberalism as story is central to his call for a postcapitalist project, story not made out of whole cloth but literally made out of our individual and collective past, our heritage, our traditions. But of course, neoliberalism would privatize the past as well, would take ownership of it on behalf of the infantile desire for omnipotence of the few. We no longer need to go abroad to find an example of this Orwellian war against the past. Fintan O’Toole, one of the most acute analysts of the Trump psyche, describes the former President’s infantile attitude to the past in an article published in July 2020.</w:t>
      </w:r>
      <w:r>
        <w:rPr>
          <w:rStyle w:val="FootnoteReference"/>
        </w:rPr>
        <w:footnoteReference w:id="3"/>
      </w:r>
      <w:r>
        <w:t xml:space="preserve"> O’Toole</w:t>
      </w:r>
      <w:r>
        <w:rPr>
          <w:rFonts w:ascii="ariel" w:hAnsi="ariel"/>
        </w:rPr>
        <w:t xml:space="preserve"> engages in a surgically precise description, interpretation, and analysis of the present pathological “moment” in American history, a pathology which he finds in our relationship to </w:t>
      </w:r>
      <w:r w:rsidRPr="009F2161">
        <w:rPr>
          <w:rFonts w:ascii="ariel" w:hAnsi="ariel"/>
          <w:i/>
        </w:rPr>
        <w:t>time - past, present, and future</w:t>
      </w:r>
      <w:r>
        <w:rPr>
          <w:rFonts w:ascii="ariel" w:hAnsi="ariel"/>
        </w:rPr>
        <w:t xml:space="preserve"> - but especially in our relationship to the past, to history. O’Toole focuses on three armed conflicts that “have never ended,” the Civil War, the Vietnam War, and the so-called war on terror.” “Their toxic residues flow from different directions into the current breakdown of the American polity.” He “reads” Trump as the embodiment of the </w:t>
      </w:r>
      <w:r>
        <w:rPr>
          <w:rFonts w:ascii="ariel" w:hAnsi="ariel"/>
        </w:rPr>
        <w:lastRenderedPageBreak/>
        <w:t xml:space="preserve">most malignant, unresolved, </w:t>
      </w:r>
      <w:r w:rsidRPr="00212110">
        <w:rPr>
          <w:rFonts w:ascii="ariel" w:hAnsi="ariel"/>
          <w:b/>
        </w:rPr>
        <w:t>repressed</w:t>
      </w:r>
      <w:r>
        <w:rPr>
          <w:rFonts w:ascii="ariel" w:hAnsi="ariel"/>
        </w:rPr>
        <w:t xml:space="preserve"> strains of our common past – now boiling over, even as for three years, Trump has engaged in puffing up his own historic self, belittling everyone else, and, in his “demented solipsism,” “shrink-fitting history “so that it hugs Trump’s own ample figure, cleaving both to his greatness and to his victimhood as an object of unparalleled persecution.” “While the country he misgoverns was still boiling over [with unresolved history], Trump was still boiling [it] down,” boiling down all of American history into “a tale of his own pain and glory.” See also Govert Schuller’s article, “On Trump: The Ruling Pathocrat,” available </w:t>
      </w:r>
      <w:hyperlink r:id="rId6" w:history="1">
        <w:r w:rsidRPr="005B404F">
          <w:rPr>
            <w:rStyle w:val="Hyperlink"/>
            <w:rFonts w:ascii="ariel" w:hAnsi="ariel"/>
          </w:rPr>
          <w:t>here</w:t>
        </w:r>
      </w:hyperlink>
      <w:r>
        <w:rPr>
          <w:rFonts w:ascii="ariel" w:hAnsi="ariel"/>
        </w:rPr>
        <w:t>. A pathocrat is a person without a conscience. “malignantly narcissitic” spellbinders.</w:t>
      </w:r>
    </w:p>
    <w:p w14:paraId="3B1CE16D" w14:textId="77777777" w:rsidR="004C4ABE" w:rsidRPr="0071799F" w:rsidRDefault="004C4ABE" w:rsidP="004C4ABE">
      <w:pPr>
        <w:rPr>
          <w:i/>
        </w:rPr>
      </w:pPr>
      <w:r>
        <w:tab/>
        <w:t xml:space="preserve">I want to end by calling attention to the work of Andrew Schaap, who has appropriated Hannah Arendt’s work creatively and with the same kind of relentless careful attitude as Bruce Rogers-Vaughn in order to analyze the efforts in post-apartheid South Africa to pursue their efforts at reconciliation. The book is called </w:t>
      </w:r>
      <w:r>
        <w:rPr>
          <w:i/>
        </w:rPr>
        <w:t>On Reconciliation,</w:t>
      </w:r>
      <w:r w:rsidRPr="0071799F">
        <w:t xml:space="preserve"> published in </w:t>
      </w:r>
      <w:r>
        <w:t xml:space="preserve">2004. Schaap’s book I suggest can be read as a call at all costs to keep the “potential space” of politics open for attention by the public to those things that matter to the public. </w:t>
      </w:r>
    </w:p>
    <w:p w14:paraId="5E00EC5C" w14:textId="77777777" w:rsidR="004C4ABE" w:rsidRDefault="004C4ABE" w:rsidP="004C4ABE"/>
    <w:p w14:paraId="6478767D" w14:textId="77777777" w:rsidR="004C4ABE" w:rsidRPr="00CB2985" w:rsidRDefault="004C4ABE" w:rsidP="004C4ABE"/>
    <w:p w14:paraId="7C6676EB" w14:textId="77777777" w:rsidR="004C4ABE" w:rsidRPr="00CB2985" w:rsidRDefault="004C4ABE" w:rsidP="004C4ABE">
      <w:pPr>
        <w:rPr>
          <w:b/>
        </w:rPr>
      </w:pPr>
    </w:p>
    <w:p w14:paraId="689D75BB" w14:textId="77777777" w:rsidR="004C4ABE" w:rsidRDefault="004C4ABE"/>
    <w:sectPr w:rsidR="004C4ABE" w:rsidSect="004C4ABE">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E1BB" w14:textId="77777777" w:rsidR="001E013E" w:rsidRDefault="001E013E" w:rsidP="004C4ABE">
      <w:r>
        <w:separator/>
      </w:r>
    </w:p>
  </w:endnote>
  <w:endnote w:type="continuationSeparator" w:id="0">
    <w:p w14:paraId="021BFA04" w14:textId="77777777" w:rsidR="001E013E" w:rsidRDefault="001E013E" w:rsidP="004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e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C2E5" w14:textId="77777777" w:rsidR="001E013E" w:rsidRDefault="001E013E" w:rsidP="004C4ABE">
      <w:r>
        <w:separator/>
      </w:r>
    </w:p>
  </w:footnote>
  <w:footnote w:type="continuationSeparator" w:id="0">
    <w:p w14:paraId="4BAD0010" w14:textId="77777777" w:rsidR="001E013E" w:rsidRDefault="001E013E" w:rsidP="004C4ABE">
      <w:r>
        <w:continuationSeparator/>
      </w:r>
    </w:p>
  </w:footnote>
  <w:footnote w:id="1">
    <w:p w14:paraId="01ED0997" w14:textId="77777777" w:rsidR="004C4ABE" w:rsidRDefault="004C4ABE" w:rsidP="004C4ABE">
      <w:pPr>
        <w:pStyle w:val="FootnoteText"/>
      </w:pPr>
      <w:r>
        <w:rPr>
          <w:rStyle w:val="FootnoteReference"/>
        </w:rPr>
        <w:footnoteRef/>
      </w:r>
      <w:r>
        <w:t xml:space="preserve"> See Eric Alterman, “The American Berserk,” </w:t>
      </w:r>
      <w:r>
        <w:rPr>
          <w:i/>
        </w:rPr>
        <w:t>The Nation</w:t>
      </w:r>
      <w:r>
        <w:t xml:space="preserve">, May 4/11, 2020. </w:t>
      </w:r>
    </w:p>
  </w:footnote>
  <w:footnote w:id="2">
    <w:p w14:paraId="7D958ED6" w14:textId="77777777" w:rsidR="004C4ABE" w:rsidRDefault="004C4ABE" w:rsidP="004C4ABE">
      <w:pPr>
        <w:pStyle w:val="FootnoteText"/>
      </w:pPr>
      <w:r>
        <w:rPr>
          <w:rStyle w:val="FootnoteReference"/>
        </w:rPr>
        <w:footnoteRef/>
      </w:r>
      <w:r>
        <w:t xml:space="preserve"> Tilo Schabert, author of </w:t>
      </w:r>
      <w:r>
        <w:rPr>
          <w:i/>
        </w:rPr>
        <w:t>The Second Birth: On the Political Beginnings of Human Existence</w:t>
      </w:r>
      <w:r>
        <w:t xml:space="preserve"> (2015), argues that infancy is political from the start, “an act of political caring for human beings by human beings.” He holds that the act of political caring is carried out through the work of securing life and survival, which is “the work of government.”     Human beings “take themselves caringly ‘into their own hands,’ and make themselves the beginning of the work that is required of them … the work of government” (p. 1). Thanks to Josh Daniels for this reference. </w:t>
      </w:r>
    </w:p>
  </w:footnote>
  <w:footnote w:id="3">
    <w:p w14:paraId="6D95B5A8" w14:textId="77777777" w:rsidR="004C4ABE" w:rsidRDefault="004C4ABE" w:rsidP="004C4ABE">
      <w:pPr>
        <w:pStyle w:val="FootnoteText"/>
      </w:pPr>
      <w:r>
        <w:rPr>
          <w:rStyle w:val="FootnoteReference"/>
        </w:rPr>
        <w:footnoteRef/>
      </w:r>
      <w:r>
        <w:t xml:space="preserve"> Fintan O’Toole, “Unpresidented,” </w:t>
      </w:r>
      <w:r>
        <w:rPr>
          <w:i/>
        </w:rPr>
        <w:t xml:space="preserve">The New York Review of Books, </w:t>
      </w:r>
      <w:r>
        <w:t>7/14/2020.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E000" w14:textId="77777777" w:rsidR="004C4ABE" w:rsidRDefault="004C4A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AC1E1E" w14:textId="77777777" w:rsidR="004C4ABE" w:rsidRDefault="004C4A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A624" w14:textId="77777777" w:rsidR="004C4ABE" w:rsidRDefault="004C4A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A369C7" w14:textId="77777777" w:rsidR="004C4ABE" w:rsidRDefault="004C4ABE">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BE"/>
    <w:rsid w:val="00043DFE"/>
    <w:rsid w:val="001E013E"/>
    <w:rsid w:val="00454192"/>
    <w:rsid w:val="004C4ABE"/>
    <w:rsid w:val="00E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26B"/>
  <w15:chartTrackingRefBased/>
  <w15:docId w15:val="{2AC104E1-C9D8-456B-8F87-F0008D31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BE"/>
    <w:pPr>
      <w:spacing w:after="0" w:line="240" w:lineRule="auto"/>
    </w:pPr>
    <w:rPr>
      <w:rFonts w:ascii="Times New Roman" w:eastAsia="MS Mincho" w:hAnsi="Times New Roman" w:cs="Times New Roman"/>
      <w:kern w:val="0"/>
      <w:lang w:eastAsia="ja-JP"/>
      <w14:ligatures w14:val="none"/>
    </w:rPr>
  </w:style>
  <w:style w:type="paragraph" w:styleId="Heading1">
    <w:name w:val="heading 1"/>
    <w:basedOn w:val="Normal"/>
    <w:next w:val="Normal"/>
    <w:link w:val="Heading1Char"/>
    <w:uiPriority w:val="9"/>
    <w:qFormat/>
    <w:rsid w:val="004C4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BE"/>
    <w:rPr>
      <w:rFonts w:eastAsiaTheme="majorEastAsia" w:cstheme="majorBidi"/>
      <w:color w:val="272727" w:themeColor="text1" w:themeTint="D8"/>
    </w:rPr>
  </w:style>
  <w:style w:type="paragraph" w:styleId="Title">
    <w:name w:val="Title"/>
    <w:basedOn w:val="Normal"/>
    <w:next w:val="Normal"/>
    <w:link w:val="TitleChar"/>
    <w:uiPriority w:val="10"/>
    <w:qFormat/>
    <w:rsid w:val="004C4A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BE"/>
    <w:pPr>
      <w:spacing w:before="160"/>
      <w:jc w:val="center"/>
    </w:pPr>
    <w:rPr>
      <w:i/>
      <w:iCs/>
      <w:color w:val="404040" w:themeColor="text1" w:themeTint="BF"/>
    </w:rPr>
  </w:style>
  <w:style w:type="character" w:customStyle="1" w:styleId="QuoteChar">
    <w:name w:val="Quote Char"/>
    <w:basedOn w:val="DefaultParagraphFont"/>
    <w:link w:val="Quote"/>
    <w:uiPriority w:val="29"/>
    <w:rsid w:val="004C4ABE"/>
    <w:rPr>
      <w:i/>
      <w:iCs/>
      <w:color w:val="404040" w:themeColor="text1" w:themeTint="BF"/>
    </w:rPr>
  </w:style>
  <w:style w:type="paragraph" w:styleId="ListParagraph">
    <w:name w:val="List Paragraph"/>
    <w:basedOn w:val="Normal"/>
    <w:uiPriority w:val="34"/>
    <w:qFormat/>
    <w:rsid w:val="004C4ABE"/>
    <w:pPr>
      <w:ind w:left="720"/>
      <w:contextualSpacing/>
    </w:pPr>
  </w:style>
  <w:style w:type="character" w:styleId="IntenseEmphasis">
    <w:name w:val="Intense Emphasis"/>
    <w:basedOn w:val="DefaultParagraphFont"/>
    <w:uiPriority w:val="21"/>
    <w:qFormat/>
    <w:rsid w:val="004C4ABE"/>
    <w:rPr>
      <w:i/>
      <w:iCs/>
      <w:color w:val="0F4761" w:themeColor="accent1" w:themeShade="BF"/>
    </w:rPr>
  </w:style>
  <w:style w:type="paragraph" w:styleId="IntenseQuote">
    <w:name w:val="Intense Quote"/>
    <w:basedOn w:val="Normal"/>
    <w:next w:val="Normal"/>
    <w:link w:val="IntenseQuoteChar"/>
    <w:uiPriority w:val="30"/>
    <w:qFormat/>
    <w:rsid w:val="004C4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BE"/>
    <w:rPr>
      <w:i/>
      <w:iCs/>
      <w:color w:val="0F4761" w:themeColor="accent1" w:themeShade="BF"/>
    </w:rPr>
  </w:style>
  <w:style w:type="character" w:styleId="IntenseReference">
    <w:name w:val="Intense Reference"/>
    <w:basedOn w:val="DefaultParagraphFont"/>
    <w:uiPriority w:val="32"/>
    <w:qFormat/>
    <w:rsid w:val="004C4ABE"/>
    <w:rPr>
      <w:b/>
      <w:bCs/>
      <w:smallCaps/>
      <w:color w:val="0F4761" w:themeColor="accent1" w:themeShade="BF"/>
      <w:spacing w:val="5"/>
    </w:rPr>
  </w:style>
  <w:style w:type="paragraph" w:styleId="FootnoteText">
    <w:name w:val="footnote text"/>
    <w:basedOn w:val="Normal"/>
    <w:link w:val="FootnoteTextChar"/>
    <w:uiPriority w:val="99"/>
    <w:rsid w:val="004C4ABE"/>
    <w:rPr>
      <w:sz w:val="20"/>
      <w:szCs w:val="20"/>
    </w:rPr>
  </w:style>
  <w:style w:type="character" w:customStyle="1" w:styleId="FootnoteTextChar">
    <w:name w:val="Footnote Text Char"/>
    <w:basedOn w:val="DefaultParagraphFont"/>
    <w:link w:val="FootnoteText"/>
    <w:uiPriority w:val="99"/>
    <w:rsid w:val="004C4ABE"/>
    <w:rPr>
      <w:rFonts w:ascii="Times New Roman" w:eastAsia="MS Mincho" w:hAnsi="Times New Roman" w:cs="Times New Roman"/>
      <w:kern w:val="0"/>
      <w:sz w:val="20"/>
      <w:szCs w:val="20"/>
      <w:lang w:eastAsia="ja-JP"/>
      <w14:ligatures w14:val="none"/>
    </w:rPr>
  </w:style>
  <w:style w:type="character" w:styleId="FootnoteReference">
    <w:name w:val="footnote reference"/>
    <w:basedOn w:val="DefaultParagraphFont"/>
    <w:uiPriority w:val="99"/>
    <w:rsid w:val="004C4ABE"/>
    <w:rPr>
      <w:rFonts w:cs="Times New Roman"/>
      <w:vertAlign w:val="superscript"/>
    </w:rPr>
  </w:style>
  <w:style w:type="character" w:styleId="Hyperlink">
    <w:name w:val="Hyperlink"/>
    <w:basedOn w:val="DefaultParagraphFont"/>
    <w:uiPriority w:val="99"/>
    <w:rsid w:val="004C4ABE"/>
    <w:rPr>
      <w:rFonts w:cs="Times New Roman"/>
      <w:u w:val="single"/>
    </w:rPr>
  </w:style>
  <w:style w:type="paragraph" w:styleId="Header">
    <w:name w:val="header"/>
    <w:basedOn w:val="Normal"/>
    <w:link w:val="HeaderChar"/>
    <w:uiPriority w:val="99"/>
    <w:rsid w:val="004C4ABE"/>
    <w:pPr>
      <w:tabs>
        <w:tab w:val="center" w:pos="4680"/>
        <w:tab w:val="right" w:pos="9360"/>
      </w:tabs>
    </w:pPr>
  </w:style>
  <w:style w:type="character" w:customStyle="1" w:styleId="HeaderChar">
    <w:name w:val="Header Char"/>
    <w:basedOn w:val="DefaultParagraphFont"/>
    <w:link w:val="Header"/>
    <w:uiPriority w:val="99"/>
    <w:rsid w:val="004C4ABE"/>
    <w:rPr>
      <w:rFonts w:ascii="Times New Roman" w:eastAsia="MS Mincho" w:hAnsi="Times New Roman" w:cs="Times New Roman"/>
      <w:kern w:val="0"/>
      <w:lang w:eastAsia="ja-JP"/>
      <w14:ligatures w14:val="none"/>
    </w:rPr>
  </w:style>
  <w:style w:type="character" w:styleId="PageNumber">
    <w:name w:val="page number"/>
    <w:basedOn w:val="DefaultParagraphFont"/>
    <w:uiPriority w:val="99"/>
    <w:rsid w:val="004C4A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pheus.org/on-trump-the-ruling-pathocr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Woll</dc:creator>
  <cp:keywords/>
  <dc:description/>
  <cp:lastModifiedBy>Bruce Woll</cp:lastModifiedBy>
  <cp:revision>1</cp:revision>
  <dcterms:created xsi:type="dcterms:W3CDTF">2026-02-13T18:03:00Z</dcterms:created>
  <dcterms:modified xsi:type="dcterms:W3CDTF">2026-02-13T19:37:00Z</dcterms:modified>
</cp:coreProperties>
</file>